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AFAFA"/>
  <w:body>
    <w:p>
      <w:pPr>
        <w:rPr>
          <w:rFonts w:hint="eastAsia" w:eastAsiaTheme="minorEastAsia"/>
          <w:lang w:val="en-US" w:eastAsia="zh-CN"/>
        </w:rPr>
      </w:pPr>
      <w:r>
        <w:rPr>
          <w:sz w:val="21"/>
        </w:rPr>
        <mc:AlternateContent>
          <mc:Choice Requires="wps">
            <w:drawing>
              <wp:anchor distT="0" distB="0" distL="114300" distR="114300" simplePos="0" relativeHeight="255237120" behindDoc="0" locked="0" layoutInCell="1" allowOverlap="1">
                <wp:simplePos x="0" y="0"/>
                <wp:positionH relativeFrom="column">
                  <wp:posOffset>-1154430</wp:posOffset>
                </wp:positionH>
                <wp:positionV relativeFrom="paragraph">
                  <wp:posOffset>7228840</wp:posOffset>
                </wp:positionV>
                <wp:extent cx="7574915" cy="102362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574915" cy="1023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汉仪雅酷黑 75W" w:hAnsi="汉仪雅酷黑 75W" w:eastAsia="汉仪雅酷黑 75W" w:cs="汉仪雅酷黑 75W"/>
                                <w:b/>
                                <w:bCs/>
                                <w:color w:val="1096C1"/>
                                <w:sz w:val="44"/>
                                <w:szCs w:val="44"/>
                                <w:lang w:val="en-US" w:eastAsia="zh-CN"/>
                              </w:rPr>
                            </w:pPr>
                            <w:r>
                              <w:rPr>
                                <w:rFonts w:hint="default" w:ascii="Times New Roman" w:hAnsi="Times New Roman" w:cs="Times New Roman" w:eastAsiaTheme="minorEastAsia"/>
                                <w:b/>
                                <w:bCs/>
                                <w:sz w:val="44"/>
                                <w:szCs w:val="44"/>
                                <w:lang w:val="en-US" w:eastAsia="zh-CN"/>
                              </w:rPr>
                              <w:t>2020</w:t>
                            </w:r>
                            <w:r>
                              <w:rPr>
                                <w:rFonts w:hint="default" w:ascii="Times New Roman" w:hAnsi="Times New Roman" w:cs="Times New Roman" w:eastAsiaTheme="minorEastAsia"/>
                                <w:b/>
                                <w:bCs/>
                                <w:sz w:val="44"/>
                                <w:szCs w:val="44"/>
                              </w:rPr>
                              <w:t>年</w:t>
                            </w:r>
                            <w:r>
                              <w:rPr>
                                <w:rFonts w:hint="default" w:ascii="Times New Roman" w:hAnsi="Times New Roman" w:cs="Times New Roman" w:eastAsiaTheme="minorEastAsia"/>
                                <w:b/>
                                <w:bCs/>
                                <w:sz w:val="44"/>
                                <w:szCs w:val="44"/>
                                <w:lang w:val="en-US" w:eastAsia="zh-CN"/>
                              </w:rPr>
                              <w:t>7</w:t>
                            </w:r>
                            <w:r>
                              <w:rPr>
                                <w:rFonts w:hint="default" w:ascii="Times New Roman" w:hAnsi="Times New Roman" w:cs="Times New Roman" w:eastAsiaTheme="minorEastAsia"/>
                                <w:b/>
                                <w:bCs/>
                                <w:sz w:val="44"/>
                                <w:szCs w:val="44"/>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9pt;margin-top:569.2pt;height:80.6pt;width:596.45pt;z-index:255237120;mso-width-relative:page;mso-height-relative:page;" filled="f" stroked="f" coordsize="21600,21600" o:gfxdata="UEsDBAoAAAAAAIdO4kAAAAAAAAAAAAAAAAAEAAAAZHJzL1BLAwQUAAAACACHTuJASDfVyt4AAAAP&#10;AQAADwAAAGRycy9kb3ducmV2LnhtbE2PzU7DMBCE70i8g7VI3FrbAao0xKlQpAoJwaGlF25OvE0i&#10;7HWI3R94etwT3GY1o5lvy9XZWXbEKQyeFMi5AIbUejNQp2D3vp7lwELUZLT1hAq+McCqur4qdWH8&#10;iTZ43MaOpRIKhVbQxzgWnIe2R6fD3I9Iydv7yemYzqnjZtKnVO4sz4RYcKcHSgu9HrHusf3cHpyC&#10;l3r9pjdN5vIfWz+/7p/Gr93Hg1K3N1I8Aot4jn9huOAndKgSU+MPZAKzCmYyl4k9Jkfe5ffALhkh&#10;pQTWJJUtlwvgVcn//1H9AlBLAwQUAAAACACHTuJA1F8aVyMCAAAbBAAADgAAAGRycy9lMm9Eb2Mu&#10;eG1srVPBjtMwEL0j8Q+W7zRNt+2yVdNV2VURUsWuVBBn17GbSLbH2G6T8gHwB3viwp3v6ncwdtpu&#10;BZwQF2cyM57xe/NmettqRXbC+RpMQfNenxJhOJS12RT044fFq9eU+MBMyRQYUdC98PR29vLFtLET&#10;MYAKVCkcwSLGTxpb0CoEO8kyzyuhme+BFQaDEpxmAX/dJisda7C6Vtmg3x9nDbjSOuDCe/Ted0E6&#10;S/WlFDw8SOlFIKqg+LaQTpfOdTyz2ZRNNo7ZqubHZ7B/eIVmtcGm51L3LDCydfUfpXTNHXiQocdB&#10;ZyBlzUXCgGjy/m9oVhWzImFBcrw90+T/X1n+fvfoSF3i7IaUGKZxRoenb4fvPw8/vhL0IUGN9RPM&#10;W1nMDO0baDH55PfojLhb6XT8IiKCcaR6f6ZXtIFwdF6Proc3+YgSjrG8P7gaD9IAsufr1vnwVoAm&#10;0Siow/klWtlu6QM+BVNPKbGbgUWtVJqhMqQp6Phq1E8XzhG8oQxejCC6x0YrtOv2iGwN5R6BOei0&#10;4S1f1Nh8yXx4ZA7FgFhQ4OEBD6kAm8DRoqQC9+Vv/piPM8IoJQ2Kq6D+85Y5QYl6Z3B6N/lwGNWY&#10;foaja+SBuMvI+jJitvoOUL85rpLlyYz5QZ1M6UB/wj2Yx64YYoZj74KGk3kXOsnjHnExn6ck1J9l&#10;YWlWlsfSHZ3zbQBZJ6YjTR03R/ZQgWkAx22JEr/8T1nPOz3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g31creAAAADwEAAA8AAAAAAAAAAQAgAAAAIgAAAGRycy9kb3ducmV2LnhtbFBLAQIUABQA&#10;AAAIAIdO4kDUXxpXIwIAABsEAAAOAAAAAAAAAAEAIAAAAC0BAABkcnMvZTJvRG9jLnhtbFBLBQYA&#10;AAAABgAGAFkBAADCBQAAAAA=&#10;">
                <v:fill on="f" focussize="0,0"/>
                <v:stroke on="f" weight="0.5pt"/>
                <v:imagedata o:title=""/>
                <o:lock v:ext="edit" aspectratio="f"/>
                <v:textbox>
                  <w:txbxContent>
                    <w:p>
                      <w:pPr>
                        <w:ind w:left="0" w:leftChars="0" w:firstLine="0" w:firstLineChars="0"/>
                        <w:jc w:val="center"/>
                        <w:rPr>
                          <w:rFonts w:hint="default" w:ascii="汉仪雅酷黑 75W" w:hAnsi="汉仪雅酷黑 75W" w:eastAsia="汉仪雅酷黑 75W" w:cs="汉仪雅酷黑 75W"/>
                          <w:b/>
                          <w:bCs/>
                          <w:color w:val="1096C1"/>
                          <w:sz w:val="44"/>
                          <w:szCs w:val="44"/>
                          <w:lang w:val="en-US" w:eastAsia="zh-CN"/>
                        </w:rPr>
                      </w:pPr>
                      <w:r>
                        <w:rPr>
                          <w:rFonts w:hint="default" w:ascii="Times New Roman" w:hAnsi="Times New Roman" w:cs="Times New Roman" w:eastAsiaTheme="minorEastAsia"/>
                          <w:b/>
                          <w:bCs/>
                          <w:sz w:val="44"/>
                          <w:szCs w:val="44"/>
                          <w:lang w:val="en-US" w:eastAsia="zh-CN"/>
                        </w:rPr>
                        <w:t>2020</w:t>
                      </w:r>
                      <w:r>
                        <w:rPr>
                          <w:rFonts w:hint="default" w:ascii="Times New Roman" w:hAnsi="Times New Roman" w:cs="Times New Roman" w:eastAsiaTheme="minorEastAsia"/>
                          <w:b/>
                          <w:bCs/>
                          <w:sz w:val="44"/>
                          <w:szCs w:val="44"/>
                        </w:rPr>
                        <w:t>年</w:t>
                      </w:r>
                      <w:r>
                        <w:rPr>
                          <w:rFonts w:hint="default" w:ascii="Times New Roman" w:hAnsi="Times New Roman" w:cs="Times New Roman" w:eastAsiaTheme="minorEastAsia"/>
                          <w:b/>
                          <w:bCs/>
                          <w:sz w:val="44"/>
                          <w:szCs w:val="44"/>
                          <w:lang w:val="en-US" w:eastAsia="zh-CN"/>
                        </w:rPr>
                        <w:t>7</w:t>
                      </w:r>
                      <w:r>
                        <w:rPr>
                          <w:rFonts w:hint="default" w:ascii="Times New Roman" w:hAnsi="Times New Roman" w:cs="Times New Roman" w:eastAsiaTheme="minorEastAsia"/>
                          <w:b/>
                          <w:bCs/>
                          <w:sz w:val="44"/>
                          <w:szCs w:val="44"/>
                        </w:rPr>
                        <w:t>月</w:t>
                      </w:r>
                    </w:p>
                  </w:txbxContent>
                </v:textbox>
              </v:shape>
            </w:pict>
          </mc:Fallback>
        </mc:AlternateContent>
      </w:r>
      <w:r>
        <w:rPr>
          <w:sz w:val="21"/>
        </w:rPr>
        <mc:AlternateContent>
          <mc:Choice Requires="wps">
            <w:drawing>
              <wp:anchor distT="0" distB="0" distL="114300" distR="114300" simplePos="0" relativeHeight="258091008" behindDoc="0" locked="0" layoutInCell="1" allowOverlap="1">
                <wp:simplePos x="0" y="0"/>
                <wp:positionH relativeFrom="column">
                  <wp:posOffset>-1400810</wp:posOffset>
                </wp:positionH>
                <wp:positionV relativeFrom="paragraph">
                  <wp:posOffset>-607695</wp:posOffset>
                </wp:positionV>
                <wp:extent cx="7574915" cy="70929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4915" cy="709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643" w:firstLineChars="200"/>
                              <w:jc w:val="left"/>
                              <w:rPr>
                                <w:rFonts w:hint="eastAsia" w:ascii="楷体" w:hAnsi="楷体" w:eastAsia="楷体" w:cs="楷体"/>
                                <w:b/>
                                <w:bCs/>
                                <w:color w:val="6CC9ED"/>
                                <w:sz w:val="44"/>
                                <w:szCs w:val="44"/>
                                <w:lang w:val="en-US" w:eastAsia="zh-CN"/>
                              </w:rPr>
                            </w:pPr>
                            <w:r>
                              <w:rPr>
                                <w:rFonts w:hint="eastAsia" w:ascii="楷体" w:hAnsi="楷体" w:eastAsia="楷体" w:cs="楷体"/>
                                <w:b/>
                                <w:bCs/>
                                <w:sz w:val="32"/>
                                <w:szCs w:val="32"/>
                                <w:lang w:val="en-US" w:eastAsia="zh-CN"/>
                              </w:rPr>
                              <w:t>上海电气风电广东有限公司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3pt;margin-top:-47.85pt;height:55.85pt;width:596.45pt;z-index:258091008;mso-width-relative:page;mso-height-relative:page;" filled="f" stroked="f" coordsize="21600,21600" o:gfxdata="UEsDBAoAAAAAAIdO4kAAAAAAAAAAAAAAAAAEAAAAZHJzL1BLAwQUAAAACACHTuJAxyP0VtwAAAAL&#10;AQAADwAAAGRycy9kb3ducmV2LnhtbE2Py07DMBBF90j8gzVI7Fq7Rk3bEKdCkSokBIuWbtg5sZtE&#10;2OMQuw/4eoZV2c1oju6cW6wv3rGTHWMfUMFsKoBZbILpsVWwf99MlsBi0mi0C2gVfNsI6/L2ptC5&#10;CWfc2tMutYxCMOZaQZfSkHMem856HadhsEi3Qxi9TrSOLTejPlO4d1wKkXGve6QPnR5s1dnmc3f0&#10;Cl6qzZve1tIvf1z1/Hp4Gr72H3Ol7u9m4hFYspd0heFPn9ShJKc6HNFE5hRMpBQZsTSt5gtghKwW&#10;8gFYTWwmgJcF/9+h/AVQSwMEFAAAAAgAh07iQAjORvQgAgAAGgQAAA4AAABkcnMvZTJvRG9jLnht&#10;bK1TwY7TMBC9I/EPlu80aWm3tGq6KrsqQqrYlQri7Dp2E8n2GNttUj4A/oATF+58V7+DsdN2K+CE&#10;uDjjmcmM35s3s9tWK7IXztdgCtrv5ZQIw6GszbagH94vX7yixAdmSqbAiIIehKe38+fPZo2digFU&#10;oErhCBYxftrYglYh2GmWeV4JzXwPrDAYlOA0C3h126x0rMHqWmWDPL/JGnCldcCF9+i974J0nupL&#10;KXh4kNKLQFRB8W0hnS6dm3hm8xmbbh2zVc1Pz2D/8ArNaoNNL6XuWWBk5+o/SumaO/AgQ4+DzkDK&#10;mouEAdH089/QrCtmRcKC5Hh7ocn/v7L83f7RkbrE2Y0pMUzjjI7fvh6//zz++ELQhwQ11k8xb20x&#10;M7SvocXks9+jM+JupdPxi4gIxpHqw4Ve0QbC0TkejYeT/ogSjrFxPhlMRrFM9vS3dT68EaBJNArq&#10;cHyJVbZf+dClnlNiMwPLWqk0QmVIU9Cbl6M8/XCJYHFlsEfE0L01WqHdtCdgGygPiMtBJw1v+bLG&#10;5ivmwyNzqAWEgvoOD3hIBdgEThYlFbjPf/PHfBwRRilpUFsF9Z92zAlK1FuDw5v0h8MoxnQZjsYD&#10;vLjryOY6Ynb6DlC+fdwky5MZ84M6m9KB/ohrsIhdMcQMx94FDWfzLnSKxzXiYrFISSg/y8LKrC2P&#10;pTs6F7sAsk5MR5o6bk7soQDTrE7LEhV+fU9ZTy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I/RW3AAAAAsBAAAPAAAAAAAAAAEAIAAAACIAAABkcnMvZG93bnJldi54bWxQSwECFAAUAAAACACH&#10;TuJACM5G9CACAAAaBAAADgAAAAAAAAABACAAAAArAQAAZHJzL2Uyb0RvYy54bWxQSwUGAAAAAAYA&#10;BgBZAQAAvQUAAAAA&#10;">
                <v:fill on="f" focussize="0,0"/>
                <v:stroke on="f" weight="0.5pt"/>
                <v:imagedata o:title=""/>
                <o:lock v:ext="edit" aspectratio="f"/>
                <v:textbox>
                  <w:txbxContent>
                    <w:p>
                      <w:pPr>
                        <w:ind w:firstLine="643" w:firstLineChars="200"/>
                        <w:jc w:val="left"/>
                        <w:rPr>
                          <w:rFonts w:hint="eastAsia" w:ascii="楷体" w:hAnsi="楷体" w:eastAsia="楷体" w:cs="楷体"/>
                          <w:b/>
                          <w:bCs/>
                          <w:color w:val="6CC9ED"/>
                          <w:sz w:val="44"/>
                          <w:szCs w:val="44"/>
                          <w:lang w:val="en-US" w:eastAsia="zh-CN"/>
                        </w:rPr>
                      </w:pPr>
                      <w:r>
                        <w:rPr>
                          <w:rFonts w:hint="eastAsia" w:ascii="楷体" w:hAnsi="楷体" w:eastAsia="楷体" w:cs="楷体"/>
                          <w:b/>
                          <w:bCs/>
                          <w:sz w:val="32"/>
                          <w:szCs w:val="32"/>
                          <w:lang w:val="en-US" w:eastAsia="zh-CN"/>
                        </w:rPr>
                        <w:t>上海电气风电广东有限公司</w:t>
                      </w:r>
                    </w:p>
                  </w:txbxContent>
                </v:textbox>
              </v:shape>
            </w:pict>
          </mc:Fallback>
        </mc:AlternateContent>
      </w:r>
      <w:r>
        <w:rPr>
          <w:sz w:val="21"/>
        </w:rPr>
        <mc:AlternateContent>
          <mc:Choice Requires="wps">
            <w:drawing>
              <wp:anchor distT="0" distB="0" distL="114300" distR="114300" simplePos="0" relativeHeight="253088768" behindDoc="0" locked="0" layoutInCell="1" allowOverlap="1">
                <wp:simplePos x="0" y="0"/>
                <wp:positionH relativeFrom="column">
                  <wp:posOffset>-1174750</wp:posOffset>
                </wp:positionH>
                <wp:positionV relativeFrom="paragraph">
                  <wp:posOffset>2905760</wp:posOffset>
                </wp:positionV>
                <wp:extent cx="7628255" cy="159194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628255" cy="1591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tabs>
                                <w:tab w:val="right" w:leader="dot" w:pos="8980"/>
                              </w:tabs>
                              <w:ind w:firstLine="0" w:firstLineChars="0"/>
                              <w:jc w:val="center"/>
                              <w:rPr>
                                <w:rFonts w:hint="eastAsia" w:ascii="楷体" w:hAnsi="楷体" w:eastAsia="楷体" w:cs="楷体"/>
                                <w:b/>
                                <w:bCs/>
                                <w:sz w:val="52"/>
                                <w:szCs w:val="52"/>
                              </w:rPr>
                            </w:pPr>
                            <w:r>
                              <w:rPr>
                                <w:rFonts w:hint="eastAsia" w:ascii="楷体" w:hAnsi="楷体" w:eastAsia="楷体" w:cs="楷体"/>
                                <w:b/>
                                <w:bCs/>
                                <w:sz w:val="52"/>
                                <w:szCs w:val="52"/>
                                <w:lang w:val="en-US" w:eastAsia="zh-CN"/>
                              </w:rPr>
                              <w:t>海上风电智能制造</w:t>
                            </w:r>
                            <w:r>
                              <w:rPr>
                                <w:rFonts w:hint="eastAsia" w:ascii="楷体" w:hAnsi="楷体" w:eastAsia="楷体" w:cs="楷体"/>
                                <w:b/>
                                <w:bCs/>
                                <w:sz w:val="52"/>
                                <w:szCs w:val="52"/>
                              </w:rPr>
                              <w:t>项目</w:t>
                            </w:r>
                          </w:p>
                          <w:p>
                            <w:pPr>
                              <w:ind w:left="0" w:leftChars="0" w:firstLine="0" w:firstLineChars="0"/>
                              <w:jc w:val="center"/>
                              <w:rPr>
                                <w:rFonts w:hint="eastAsia"/>
                                <w:lang w:val="en-US" w:eastAsia="zh-CN"/>
                              </w:rPr>
                            </w:pPr>
                            <w:r>
                              <w:rPr>
                                <w:rFonts w:hint="eastAsia" w:ascii="楷体" w:hAnsi="楷体" w:eastAsia="楷体" w:cs="楷体"/>
                                <w:b/>
                                <w:bCs/>
                                <w:sz w:val="52"/>
                                <w:szCs w:val="52"/>
                              </w:rPr>
                              <w:t>竣工环境保护验收监测报告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pt;margin-top:228.8pt;height:125.35pt;width:600.65pt;z-index:253088768;mso-width-relative:page;mso-height-relative:page;" filled="f" stroked="f" coordsize="21600,21600" o:gfxdata="UEsDBAoAAAAAAIdO4kAAAAAAAAAAAAAAAAAEAAAAZHJzL1BLAwQUAAAACACHTuJAlWTqIt0AAAAN&#10;AQAADwAAAGRycy9kb3ducmV2LnhtbE2Py07DMBRE90j8g3WR2LV2WpJGITcVilQhIVi0dMPOiW+T&#10;CD9C7D7g63FXsBzNaOZMub4YzU40+cFZhGQugJFtnRpsh7B/38xyYD5Iq6R2lhC+ycO6ur0pZaHc&#10;2W7ptAsdiyXWFxKhD2EsOPdtT0b6uRvJRu/gJiNDlFPH1STPsdxovhAi40YONi70cqS6p/ZzdzQI&#10;L/XmTW6bhcl/dP38engav/YfKeL9XSIegQW6hL8wXPEjOlSRqXFHqzzTCLMkT+OZgPCQrjJg14hI&#10;siWwBmEl8iXwquT/X1S/UEsDBBQAAAAIAIdO4kCXqxixIQIAABsEAAAOAAAAZHJzL2Uyb0RvYy54&#10;bWytU8GO0zAQvSPxD5bvNE1pu9uq6arsqghpxa5UEGfXsZtItsfYbpPyAfAHe+LCne/qdzB22m4F&#10;nBAXZzwzeeN582Z202pFdsL5GkxB816fEmE4lLXZFPTjh+Wra0p8YKZkCowo6F54ejN/+WLW2KkY&#10;QAWqFI4giPHTxha0CsFOs8zzSmjme2CFwaAEp1nAq9tkpWMNomuVDfr9cdaAK60DLrxH710XpPOE&#10;L6Xg4UFKLwJRBcW3hXS6dK7jmc1nbLpxzFY1Pz6D/cMrNKsNFj1D3bHAyNbVf0DpmjvwIEOPg85A&#10;ypqL1AN2k/d/62ZVMStSL0iOt2ea/P+D5e93j47UJc4O6TFM44wOT98O338efnwl6EOCGuunmLey&#10;mBnaN9Bi8snv0Rn7bqXT8YsdEYwj1v5Mr2gD4ei8Gg+uB6MRJRxj+WiST4ajiJM9/26dD28FaBKN&#10;gjqcX6KV7e596FJPKbGagWWtVJqhMqQp6Pj1qJ9+OEcQXBmsEZvoHhut0K7bY2drKPfYmINOG97y&#10;ZY3F75kPj8yhGLAXFHh4wEMqwCJwtCipwH35mz/m44wwSkmD4iqo/7xlTlCi3hmc3iQfDqMa02U4&#10;uhrgxV1G1pcRs9W3gPrNcZUsT2bMD+pkSgf6E+7BIlbFEDMcaxc0nMzb0Eke94iLxSIlof4sC/dm&#10;ZXmE7uhcbAPIOjEdaeq4ObKHCkyzOm5LlPjlPWU97/T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Vk6iLdAAAADQEAAA8AAAAAAAAAAQAgAAAAIgAAAGRycy9kb3ducmV2LnhtbFBLAQIUABQAAAAI&#10;AIdO4kCXqxixIQIAABsEAAAOAAAAAAAAAAEAIAAAACwBAABkcnMvZTJvRG9jLnhtbFBLBQYAAAAA&#10;BgAGAFkBAAC/BQAAAAA=&#10;">
                <v:fill on="f" focussize="0,0"/>
                <v:stroke on="f" weight="0.5pt"/>
                <v:imagedata o:title=""/>
                <o:lock v:ext="edit" aspectratio="f"/>
                <v:textbox>
                  <w:txbxContent>
                    <w:p>
                      <w:pPr>
                        <w:pStyle w:val="9"/>
                        <w:tabs>
                          <w:tab w:val="right" w:leader="dot" w:pos="8980"/>
                        </w:tabs>
                        <w:ind w:firstLine="0" w:firstLineChars="0"/>
                        <w:jc w:val="center"/>
                        <w:rPr>
                          <w:rFonts w:hint="eastAsia" w:ascii="楷体" w:hAnsi="楷体" w:eastAsia="楷体" w:cs="楷体"/>
                          <w:b/>
                          <w:bCs/>
                          <w:sz w:val="52"/>
                          <w:szCs w:val="52"/>
                        </w:rPr>
                      </w:pPr>
                      <w:r>
                        <w:rPr>
                          <w:rFonts w:hint="eastAsia" w:ascii="楷体" w:hAnsi="楷体" w:eastAsia="楷体" w:cs="楷体"/>
                          <w:b/>
                          <w:bCs/>
                          <w:sz w:val="52"/>
                          <w:szCs w:val="52"/>
                          <w:lang w:val="en-US" w:eastAsia="zh-CN"/>
                        </w:rPr>
                        <w:t>海上风电智能制造</w:t>
                      </w:r>
                      <w:r>
                        <w:rPr>
                          <w:rFonts w:hint="eastAsia" w:ascii="楷体" w:hAnsi="楷体" w:eastAsia="楷体" w:cs="楷体"/>
                          <w:b/>
                          <w:bCs/>
                          <w:sz w:val="52"/>
                          <w:szCs w:val="52"/>
                        </w:rPr>
                        <w:t>项目</w:t>
                      </w:r>
                    </w:p>
                    <w:p>
                      <w:pPr>
                        <w:ind w:left="0" w:leftChars="0" w:firstLine="0" w:firstLineChars="0"/>
                        <w:jc w:val="center"/>
                        <w:rPr>
                          <w:rFonts w:hint="eastAsia"/>
                          <w:lang w:val="en-US" w:eastAsia="zh-CN"/>
                        </w:rPr>
                      </w:pPr>
                      <w:r>
                        <w:rPr>
                          <w:rFonts w:hint="eastAsia" w:ascii="楷体" w:hAnsi="楷体" w:eastAsia="楷体" w:cs="楷体"/>
                          <w:b/>
                          <w:bCs/>
                          <w:sz w:val="52"/>
                          <w:szCs w:val="52"/>
                        </w:rPr>
                        <w:t>竣工环境保护验收监测报告</w:t>
                      </w:r>
                    </w:p>
                  </w:txbxContent>
                </v:textbox>
              </v:shape>
            </w:pict>
          </mc:Fallback>
        </mc:AlternateContent>
      </w:r>
      <w:r>
        <w:drawing>
          <wp:anchor distT="0" distB="0" distL="114300" distR="114300" simplePos="0" relativeHeight="255238144" behindDoc="1" locked="0" layoutInCell="1" allowOverlap="1">
            <wp:simplePos x="0" y="0"/>
            <wp:positionH relativeFrom="column">
              <wp:posOffset>-1150620</wp:posOffset>
            </wp:positionH>
            <wp:positionV relativeFrom="paragraph">
              <wp:posOffset>-897890</wp:posOffset>
            </wp:positionV>
            <wp:extent cx="7574915" cy="10731500"/>
            <wp:effectExtent l="0" t="0" r="6985" b="1270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
                    <a:stretch>
                      <a:fillRect/>
                    </a:stretch>
                  </pic:blipFill>
                  <pic:spPr>
                    <a:xfrm>
                      <a:off x="0" y="0"/>
                      <a:ext cx="7574915" cy="10731500"/>
                    </a:xfrm>
                    <a:prstGeom prst="rect">
                      <a:avLst/>
                    </a:prstGeom>
                    <a:noFill/>
                    <a:ln>
                      <a:noFill/>
                    </a:ln>
                  </pic:spPr>
                </pic:pic>
              </a:graphicData>
            </a:graphic>
          </wp:anchor>
        </w:drawing>
      </w:r>
      <w:r>
        <w:rPr>
          <w:sz w:val="21"/>
        </w:rPr>
        <mc:AlternateContent>
          <mc:Choice Requires="wps">
            <w:drawing>
              <wp:anchor distT="0" distB="0" distL="114300" distR="114300" simplePos="0" relativeHeight="255238144" behindDoc="0" locked="0" layoutInCell="1" allowOverlap="1">
                <wp:simplePos x="0" y="0"/>
                <wp:positionH relativeFrom="column">
                  <wp:posOffset>-345440</wp:posOffset>
                </wp:positionH>
                <wp:positionV relativeFrom="paragraph">
                  <wp:posOffset>4634230</wp:posOffset>
                </wp:positionV>
                <wp:extent cx="523240" cy="523240"/>
                <wp:effectExtent l="0" t="0" r="10160" b="10160"/>
                <wp:wrapNone/>
                <wp:docPr id="9" name="矩形 9"/>
                <wp:cNvGraphicFramePr/>
                <a:graphic xmlns:a="http://schemas.openxmlformats.org/drawingml/2006/main">
                  <a:graphicData uri="http://schemas.microsoft.com/office/word/2010/wordprocessingShape">
                    <wps:wsp>
                      <wps:cNvSpPr/>
                      <wps:spPr>
                        <a:xfrm>
                          <a:off x="598170" y="5258435"/>
                          <a:ext cx="523240" cy="523240"/>
                        </a:xfrm>
                        <a:prstGeom prst="rect">
                          <a:avLst/>
                        </a:prstGeom>
                        <a:solidFill>
                          <a:srgbClr val="A7DD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2pt;margin-top:364.9pt;height:41.2pt;width:41.2pt;z-index:255238144;v-text-anchor:middle;mso-width-relative:page;mso-height-relative:page;" fillcolor="#A7DDF4" filled="t" stroked="f" coordsize="21600,21600" o:gfxdata="UEsDBAoAAAAAAIdO4kAAAAAAAAAAAAAAAAAEAAAAZHJzL1BLAwQUAAAACACHTuJAejPKTNoAAAAK&#10;AQAADwAAAGRycy9kb3ducmV2LnhtbE2Py07DMBBF90j8gzVI7Fo7VilpiNMFURESFEQfeycekojY&#10;jmK3DX/PsILlaK7uPSdfT7ZnZxxD552CZC6Aoau96Vyj4LDfzFJgIWpndO8dKvjGAOvi+irXmfEX&#10;94HnXWwYlbiQaQVtjEPGeahbtDrM/YCOfp9+tDrSOTbcjPpC5bbnUoglt7pztNDqAR9brL92J6ug&#10;ehXLY/nyVE5+9VzF9+2mPLwlSt3eJOIBWMQp/oXhF5/QoSCmyp+cCaxXMLtbLCiq4F6uyIESMiW5&#10;SkGaSAm8yPl/heIHUEsDBBQAAAAIAIdO4kCR1Ab1WAIAAIcEAAAOAAAAZHJzL2Uyb0RvYy54bWyt&#10;VEuO2zAM3RfoHQTtO048SfNBnEEwQYoCg06AtOhakaVYgH6llDjTyxToroeY4xS9RinZ8+lnVdQL&#10;mTSJR/Lp0Yurs9HkJCAoZys6vBhQIix3tbKHin54v3k1pSREZmumnRUVvROBXi1fvli0fi5K1zhd&#10;CyAIYsO89RVtYvTzogi8EYaFC+eFxaB0YFhEFw5FDaxFdKOLcjB4XbQOag+OixDw67oL0mXGl1Lw&#10;eCtlEJHoimJvMZ+Qz306i+WCzQ/AfKN43wb7hy4MUxaLPkKtWWTkCOoPKKM4uOBkvODOFE5KxUWe&#10;AacZDn6bZtcwL/IsSE7wjzSF/wfL3522QFRd0Rkllhm8oh9fvn2//0pmiZvWhzmm7PwWei+gmQY9&#10;SzDpjSOQc0XHs+lwggTfoVmOp6PLcUetOEfCU7y8LEcY5zkh2whYPOF4CPGNcIYko6KAN5cJZaeb&#10;ELvUh5RUNjit6o3SOjtw2F9rICeGt7yarNebUaqO6L+kaUta1Gg5GaRGGKpNahbRNB7nD/ZACdMH&#10;lDGPkGtblyogEpun2msWmq5Ghu0GNCqigLUyFZ0O0tNX1hYbSPR1hCVr7+o7JBtcp8Lg+UYh7A0L&#10;ccsAZYdt4SrFWzykdtir6y1KGgef//Y95aMaMEpJizLGOT4dGQhK9FuLOpkNR4n2mJ3ReFKiA88j&#10;++cRezTXDjkc4tJ6ns2UH/WDKcGZj7hxq1QVQ8xyrN0x1jvXsVsv3FkuVquchlr3LN7YnecJPBFq&#10;3eoYnVT5bp/Y6UlDtef76zczrdNzP2c9/T+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6M8pM&#10;2gAAAAoBAAAPAAAAAAAAAAEAIAAAACIAAABkcnMvZG93bnJldi54bWxQSwECFAAUAAAACACHTuJA&#10;kdQG9VgCAACHBAAADgAAAAAAAAABACAAAAApAQAAZHJzL2Uyb0RvYy54bWxQSwUGAAAAAAYABgBZ&#10;AQAA8wUAAAAA&#10;">
                <v:fill on="t" focussize="0,0"/>
                <v:stroke on="f" weight="1pt" miterlimit="8" joinstyle="miter"/>
                <v:imagedata o:title=""/>
                <o:lock v:ext="edit" aspectratio="f"/>
              </v:rect>
            </w:pict>
          </mc:Fallback>
        </mc:AlternateContent>
      </w:r>
    </w:p>
    <w:p>
      <w:pPr>
        <w:pStyle w:val="9"/>
        <w:tabs>
          <w:tab w:val="right" w:leader="dot" w:pos="8980"/>
        </w:tabs>
        <w:ind w:firstLine="0" w:firstLineChars="0"/>
        <w:rPr>
          <w:rFonts w:hint="default" w:ascii="Times New Roman" w:hAnsi="Times New Roman" w:cs="Times New Roman" w:eastAsiaTheme="minorEastAsia"/>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imes New Roman"/>
          <w:kern w:val="2"/>
          <w:sz w:val="21"/>
          <w:szCs w:val="24"/>
          <w:lang w:val="en-US" w:eastAsia="zh-CN" w:bidi="ar-SA"/>
        </w:rPr>
        <w:id w:val="147451080"/>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44"/>
              <w:szCs w:val="44"/>
            </w:rPr>
            <w:t>目录</w:t>
          </w:r>
        </w:p>
        <w:p>
          <w:pPr>
            <w:pStyle w:val="9"/>
            <w:tabs>
              <w:tab w:val="right" w:leader="dot" w:pos="9746"/>
            </w:tabs>
          </w:pPr>
          <w:r>
            <w:fldChar w:fldCharType="begin"/>
          </w:r>
          <w:r>
            <w:instrText xml:space="preserve">TOC \o "1-2" \h \u </w:instrText>
          </w:r>
          <w:r>
            <w:fldChar w:fldCharType="separate"/>
          </w:r>
          <w:r>
            <w:fldChar w:fldCharType="begin"/>
          </w:r>
          <w:r>
            <w:instrText xml:space="preserve"> HYPERLINK \l _Toc31025 </w:instrText>
          </w:r>
          <w:r>
            <w:fldChar w:fldCharType="separate"/>
          </w:r>
          <w:r>
            <w:t>1</w:t>
          </w:r>
          <w:r>
            <w:rPr>
              <w:rFonts w:hint="eastAsia"/>
              <w:lang w:eastAsia="zh-CN"/>
            </w:rPr>
            <w:t>、</w:t>
          </w:r>
          <w:r>
            <w:rPr>
              <w:rFonts w:hint="eastAsia"/>
            </w:rPr>
            <w:t>项目概况</w:t>
          </w:r>
          <w:r>
            <w:tab/>
          </w:r>
          <w:r>
            <w:fldChar w:fldCharType="begin"/>
          </w:r>
          <w:r>
            <w:instrText xml:space="preserve"> PAGEREF _Toc31025 </w:instrText>
          </w:r>
          <w:r>
            <w:fldChar w:fldCharType="separate"/>
          </w:r>
          <w:r>
            <w:t>1</w:t>
          </w:r>
          <w:r>
            <w:fldChar w:fldCharType="end"/>
          </w:r>
          <w:r>
            <w:fldChar w:fldCharType="end"/>
          </w:r>
        </w:p>
        <w:p>
          <w:pPr>
            <w:pStyle w:val="9"/>
            <w:tabs>
              <w:tab w:val="right" w:leader="dot" w:pos="9746"/>
            </w:tabs>
          </w:pPr>
          <w:r>
            <w:fldChar w:fldCharType="begin"/>
          </w:r>
          <w:r>
            <w:instrText xml:space="preserve"> HYPERLINK \l _Toc15526 </w:instrText>
          </w:r>
          <w:r>
            <w:fldChar w:fldCharType="separate"/>
          </w:r>
          <w:r>
            <w:t>2</w:t>
          </w:r>
          <w:r>
            <w:rPr>
              <w:rFonts w:hint="eastAsia"/>
              <w:lang w:eastAsia="zh-CN"/>
            </w:rPr>
            <w:t>、</w:t>
          </w:r>
          <w:r>
            <w:rPr>
              <w:rFonts w:hint="eastAsia"/>
            </w:rPr>
            <w:t>验收监测依据</w:t>
          </w:r>
          <w:r>
            <w:tab/>
          </w:r>
          <w:r>
            <w:fldChar w:fldCharType="begin"/>
          </w:r>
          <w:r>
            <w:instrText xml:space="preserve"> PAGEREF _Toc15526 </w:instrText>
          </w:r>
          <w:r>
            <w:fldChar w:fldCharType="separate"/>
          </w:r>
          <w:r>
            <w:t>1</w:t>
          </w:r>
          <w:r>
            <w:fldChar w:fldCharType="end"/>
          </w:r>
          <w:r>
            <w:fldChar w:fldCharType="end"/>
          </w:r>
        </w:p>
        <w:p>
          <w:pPr>
            <w:pStyle w:val="9"/>
            <w:tabs>
              <w:tab w:val="right" w:leader="dot" w:pos="9746"/>
            </w:tabs>
          </w:pPr>
          <w:r>
            <w:fldChar w:fldCharType="begin"/>
          </w:r>
          <w:r>
            <w:instrText xml:space="preserve"> HYPERLINK \l _Toc6445 </w:instrText>
          </w:r>
          <w:r>
            <w:fldChar w:fldCharType="separate"/>
          </w:r>
          <w:r>
            <w:t>3</w:t>
          </w:r>
          <w:r>
            <w:rPr>
              <w:rFonts w:hint="eastAsia"/>
              <w:lang w:eastAsia="zh-CN"/>
            </w:rPr>
            <w:t>、</w:t>
          </w:r>
          <w:r>
            <w:rPr>
              <w:rFonts w:hint="eastAsia"/>
            </w:rPr>
            <w:t>工程建设情况</w:t>
          </w:r>
          <w:r>
            <w:tab/>
          </w:r>
          <w:r>
            <w:fldChar w:fldCharType="begin"/>
          </w:r>
          <w:r>
            <w:instrText xml:space="preserve"> PAGEREF _Toc6445 </w:instrText>
          </w:r>
          <w:r>
            <w:fldChar w:fldCharType="separate"/>
          </w:r>
          <w:r>
            <w:t>2</w:t>
          </w:r>
          <w:r>
            <w:fldChar w:fldCharType="end"/>
          </w:r>
          <w:r>
            <w:fldChar w:fldCharType="end"/>
          </w:r>
        </w:p>
        <w:p>
          <w:pPr>
            <w:pStyle w:val="10"/>
            <w:tabs>
              <w:tab w:val="right" w:leader="dot" w:pos="9746"/>
            </w:tabs>
          </w:pPr>
          <w:r>
            <w:fldChar w:fldCharType="begin"/>
          </w:r>
          <w:r>
            <w:instrText xml:space="preserve"> HYPERLINK \l _Toc22032 </w:instrText>
          </w:r>
          <w:r>
            <w:fldChar w:fldCharType="separate"/>
          </w:r>
          <w:r>
            <w:t>3.1</w:t>
          </w:r>
          <w:r>
            <w:rPr>
              <w:rFonts w:hint="eastAsia"/>
            </w:rPr>
            <w:t>地理位置及平面布置</w:t>
          </w:r>
          <w:r>
            <w:tab/>
          </w:r>
          <w:r>
            <w:fldChar w:fldCharType="begin"/>
          </w:r>
          <w:r>
            <w:instrText xml:space="preserve"> PAGEREF _Toc22032 </w:instrText>
          </w:r>
          <w:r>
            <w:fldChar w:fldCharType="separate"/>
          </w:r>
          <w:r>
            <w:t>2</w:t>
          </w:r>
          <w:r>
            <w:fldChar w:fldCharType="end"/>
          </w:r>
          <w:r>
            <w:fldChar w:fldCharType="end"/>
          </w:r>
        </w:p>
        <w:p>
          <w:pPr>
            <w:pStyle w:val="10"/>
            <w:tabs>
              <w:tab w:val="right" w:leader="dot" w:pos="9746"/>
            </w:tabs>
          </w:pPr>
          <w:r>
            <w:fldChar w:fldCharType="begin"/>
          </w:r>
          <w:r>
            <w:instrText xml:space="preserve"> HYPERLINK \l _Toc4721 </w:instrText>
          </w:r>
          <w:r>
            <w:fldChar w:fldCharType="separate"/>
          </w:r>
          <w:r>
            <w:rPr>
              <w:rFonts w:hint="eastAsia"/>
            </w:rPr>
            <w:t>3.2建设内容</w:t>
          </w:r>
          <w:r>
            <w:tab/>
          </w:r>
          <w:r>
            <w:fldChar w:fldCharType="begin"/>
          </w:r>
          <w:r>
            <w:instrText xml:space="preserve"> PAGEREF _Toc4721 </w:instrText>
          </w:r>
          <w:r>
            <w:fldChar w:fldCharType="separate"/>
          </w:r>
          <w:r>
            <w:t>2</w:t>
          </w:r>
          <w:r>
            <w:fldChar w:fldCharType="end"/>
          </w:r>
          <w:r>
            <w:fldChar w:fldCharType="end"/>
          </w:r>
        </w:p>
        <w:p>
          <w:pPr>
            <w:pStyle w:val="10"/>
            <w:tabs>
              <w:tab w:val="right" w:leader="dot" w:pos="9746"/>
            </w:tabs>
          </w:pPr>
          <w:r>
            <w:fldChar w:fldCharType="begin"/>
          </w:r>
          <w:r>
            <w:instrText xml:space="preserve"> HYPERLINK \l _Toc1252 </w:instrText>
          </w:r>
          <w:r>
            <w:fldChar w:fldCharType="separate"/>
          </w:r>
          <w:r>
            <w:t>3.3</w:t>
          </w:r>
          <w:r>
            <w:rPr>
              <w:rFonts w:hint="eastAsia"/>
            </w:rPr>
            <w:t>主要原</w:t>
          </w:r>
          <w:r>
            <w:t>辅</w:t>
          </w:r>
          <w:r>
            <w:rPr>
              <w:rFonts w:hint="eastAsia"/>
            </w:rPr>
            <w:t>材料</w:t>
          </w:r>
          <w:r>
            <w:tab/>
          </w:r>
          <w:r>
            <w:fldChar w:fldCharType="begin"/>
          </w:r>
          <w:r>
            <w:instrText xml:space="preserve"> PAGEREF _Toc1252 </w:instrText>
          </w:r>
          <w:r>
            <w:fldChar w:fldCharType="separate"/>
          </w:r>
          <w:r>
            <w:t>4</w:t>
          </w:r>
          <w:r>
            <w:fldChar w:fldCharType="end"/>
          </w:r>
          <w:r>
            <w:fldChar w:fldCharType="end"/>
          </w:r>
        </w:p>
        <w:p>
          <w:pPr>
            <w:pStyle w:val="10"/>
            <w:tabs>
              <w:tab w:val="right" w:leader="dot" w:pos="9746"/>
            </w:tabs>
          </w:pPr>
          <w:r>
            <w:fldChar w:fldCharType="begin"/>
          </w:r>
          <w:r>
            <w:instrText xml:space="preserve"> HYPERLINK \l _Toc29878 </w:instrText>
          </w:r>
          <w:r>
            <w:fldChar w:fldCharType="separate"/>
          </w:r>
          <w:r>
            <w:rPr>
              <w:rFonts w:hint="eastAsia"/>
            </w:rPr>
            <w:t>3.4</w:t>
          </w:r>
          <w:r>
            <w:rPr>
              <w:rFonts w:hint="eastAsia"/>
              <w:lang w:val="en-US" w:eastAsia="zh-CN"/>
            </w:rPr>
            <w:t>公用工程配套情况</w:t>
          </w:r>
          <w:r>
            <w:tab/>
          </w:r>
          <w:r>
            <w:fldChar w:fldCharType="begin"/>
          </w:r>
          <w:r>
            <w:instrText xml:space="preserve"> PAGEREF _Toc29878 </w:instrText>
          </w:r>
          <w:r>
            <w:fldChar w:fldCharType="separate"/>
          </w:r>
          <w:r>
            <w:t>4</w:t>
          </w:r>
          <w:r>
            <w:fldChar w:fldCharType="end"/>
          </w:r>
          <w:r>
            <w:fldChar w:fldCharType="end"/>
          </w:r>
        </w:p>
        <w:p>
          <w:pPr>
            <w:pStyle w:val="10"/>
            <w:tabs>
              <w:tab w:val="right" w:leader="dot" w:pos="9746"/>
            </w:tabs>
          </w:pPr>
          <w:r>
            <w:fldChar w:fldCharType="begin"/>
          </w:r>
          <w:r>
            <w:instrText xml:space="preserve"> HYPERLINK \l _Toc21998 </w:instrText>
          </w:r>
          <w:r>
            <w:fldChar w:fldCharType="separate"/>
          </w:r>
          <w:r>
            <w:t>3.</w:t>
          </w:r>
          <w:r>
            <w:rPr>
              <w:rFonts w:hint="eastAsia"/>
            </w:rPr>
            <w:t>5生产工艺</w:t>
          </w:r>
          <w:r>
            <w:tab/>
          </w:r>
          <w:r>
            <w:fldChar w:fldCharType="begin"/>
          </w:r>
          <w:r>
            <w:instrText xml:space="preserve"> PAGEREF _Toc21998 </w:instrText>
          </w:r>
          <w:r>
            <w:fldChar w:fldCharType="separate"/>
          </w:r>
          <w:r>
            <w:t>4</w:t>
          </w:r>
          <w:r>
            <w:fldChar w:fldCharType="end"/>
          </w:r>
          <w:r>
            <w:fldChar w:fldCharType="end"/>
          </w:r>
        </w:p>
        <w:p>
          <w:pPr>
            <w:pStyle w:val="10"/>
            <w:tabs>
              <w:tab w:val="right" w:leader="dot" w:pos="9746"/>
            </w:tabs>
          </w:pPr>
          <w:r>
            <w:fldChar w:fldCharType="begin"/>
          </w:r>
          <w:r>
            <w:instrText xml:space="preserve"> HYPERLINK \l _Toc19889 </w:instrText>
          </w:r>
          <w:r>
            <w:fldChar w:fldCharType="separate"/>
          </w:r>
          <w:r>
            <w:rPr>
              <w:rFonts w:hint="eastAsia"/>
            </w:rPr>
            <w:t>3.6项目变动情况</w:t>
          </w:r>
          <w:r>
            <w:tab/>
          </w:r>
          <w:r>
            <w:fldChar w:fldCharType="begin"/>
          </w:r>
          <w:r>
            <w:instrText xml:space="preserve"> PAGEREF _Toc19889 </w:instrText>
          </w:r>
          <w:r>
            <w:fldChar w:fldCharType="separate"/>
          </w:r>
          <w:r>
            <w:t>5</w:t>
          </w:r>
          <w:r>
            <w:fldChar w:fldCharType="end"/>
          </w:r>
          <w:r>
            <w:fldChar w:fldCharType="end"/>
          </w:r>
        </w:p>
        <w:p>
          <w:pPr>
            <w:pStyle w:val="9"/>
            <w:tabs>
              <w:tab w:val="right" w:leader="dot" w:pos="9746"/>
            </w:tabs>
          </w:pPr>
          <w:r>
            <w:fldChar w:fldCharType="begin"/>
          </w:r>
          <w:r>
            <w:instrText xml:space="preserve"> HYPERLINK \l _Toc19416 </w:instrText>
          </w:r>
          <w:r>
            <w:fldChar w:fldCharType="separate"/>
          </w:r>
          <w:r>
            <w:t>4</w:t>
          </w:r>
          <w:r>
            <w:rPr>
              <w:rFonts w:hint="eastAsia"/>
              <w:lang w:eastAsia="zh-CN"/>
            </w:rPr>
            <w:t>、</w:t>
          </w:r>
          <w:r>
            <w:rPr>
              <w:rFonts w:hint="eastAsia"/>
            </w:rPr>
            <w:t>项目施工期情况</w:t>
          </w:r>
          <w:r>
            <w:tab/>
          </w:r>
          <w:r>
            <w:fldChar w:fldCharType="begin"/>
          </w:r>
          <w:r>
            <w:instrText xml:space="preserve"> PAGEREF _Toc19416 </w:instrText>
          </w:r>
          <w:r>
            <w:fldChar w:fldCharType="separate"/>
          </w:r>
          <w:r>
            <w:t>6</w:t>
          </w:r>
          <w:r>
            <w:fldChar w:fldCharType="end"/>
          </w:r>
          <w:r>
            <w:fldChar w:fldCharType="end"/>
          </w:r>
        </w:p>
        <w:p>
          <w:pPr>
            <w:pStyle w:val="9"/>
            <w:tabs>
              <w:tab w:val="right" w:leader="dot" w:pos="9746"/>
            </w:tabs>
          </w:pPr>
          <w:r>
            <w:fldChar w:fldCharType="begin"/>
          </w:r>
          <w:r>
            <w:instrText xml:space="preserve"> HYPERLINK \l _Toc14845 </w:instrText>
          </w:r>
          <w:r>
            <w:fldChar w:fldCharType="separate"/>
          </w:r>
          <w:r>
            <w:rPr>
              <w:rFonts w:hint="eastAsia"/>
              <w:lang w:val="en-US" w:eastAsia="zh-CN"/>
            </w:rPr>
            <w:t>5、项目运营期情况</w:t>
          </w:r>
          <w:r>
            <w:tab/>
          </w:r>
          <w:r>
            <w:fldChar w:fldCharType="begin"/>
          </w:r>
          <w:r>
            <w:instrText xml:space="preserve"> PAGEREF _Toc14845 </w:instrText>
          </w:r>
          <w:r>
            <w:fldChar w:fldCharType="separate"/>
          </w:r>
          <w:r>
            <w:t>6</w:t>
          </w:r>
          <w:r>
            <w:fldChar w:fldCharType="end"/>
          </w:r>
          <w:r>
            <w:fldChar w:fldCharType="end"/>
          </w:r>
        </w:p>
        <w:p>
          <w:pPr>
            <w:pStyle w:val="10"/>
            <w:tabs>
              <w:tab w:val="right" w:leader="dot" w:pos="9746"/>
            </w:tabs>
          </w:pPr>
          <w:r>
            <w:fldChar w:fldCharType="begin"/>
          </w:r>
          <w:r>
            <w:instrText xml:space="preserve"> HYPERLINK \l _Toc10987 </w:instrText>
          </w:r>
          <w:r>
            <w:fldChar w:fldCharType="separate"/>
          </w:r>
          <w:r>
            <w:rPr>
              <w:rFonts w:hint="eastAsia"/>
              <w:lang w:val="en-US" w:eastAsia="zh-CN"/>
            </w:rPr>
            <w:t>5</w:t>
          </w:r>
          <w:r>
            <w:rPr>
              <w:rFonts w:hint="eastAsia"/>
            </w:rPr>
            <w:t>.1废水</w:t>
          </w:r>
          <w:r>
            <w:tab/>
          </w:r>
          <w:r>
            <w:fldChar w:fldCharType="begin"/>
          </w:r>
          <w:r>
            <w:instrText xml:space="preserve"> PAGEREF _Toc10987 </w:instrText>
          </w:r>
          <w:r>
            <w:fldChar w:fldCharType="separate"/>
          </w:r>
          <w:r>
            <w:t>6</w:t>
          </w:r>
          <w:r>
            <w:fldChar w:fldCharType="end"/>
          </w:r>
          <w:r>
            <w:fldChar w:fldCharType="end"/>
          </w:r>
        </w:p>
        <w:p>
          <w:pPr>
            <w:pStyle w:val="10"/>
            <w:tabs>
              <w:tab w:val="right" w:leader="dot" w:pos="9746"/>
            </w:tabs>
          </w:pPr>
          <w:r>
            <w:fldChar w:fldCharType="begin"/>
          </w:r>
          <w:r>
            <w:instrText xml:space="preserve"> HYPERLINK \l _Toc1657 </w:instrText>
          </w:r>
          <w:r>
            <w:fldChar w:fldCharType="separate"/>
          </w:r>
          <w:r>
            <w:rPr>
              <w:rFonts w:hint="eastAsia"/>
              <w:lang w:val="en-US" w:eastAsia="zh-CN"/>
            </w:rPr>
            <w:t>5</w:t>
          </w:r>
          <w:r>
            <w:t>.2</w:t>
          </w:r>
          <w:r>
            <w:rPr>
              <w:rFonts w:hint="eastAsia"/>
            </w:rPr>
            <w:t>噪声</w:t>
          </w:r>
          <w:r>
            <w:tab/>
          </w:r>
          <w:r>
            <w:fldChar w:fldCharType="begin"/>
          </w:r>
          <w:r>
            <w:instrText xml:space="preserve"> PAGEREF _Toc1657 </w:instrText>
          </w:r>
          <w:r>
            <w:fldChar w:fldCharType="separate"/>
          </w:r>
          <w:r>
            <w:t>6</w:t>
          </w:r>
          <w:r>
            <w:fldChar w:fldCharType="end"/>
          </w:r>
          <w:r>
            <w:fldChar w:fldCharType="end"/>
          </w:r>
        </w:p>
        <w:p>
          <w:pPr>
            <w:pStyle w:val="10"/>
            <w:tabs>
              <w:tab w:val="right" w:leader="dot" w:pos="9746"/>
            </w:tabs>
          </w:pPr>
          <w:r>
            <w:fldChar w:fldCharType="begin"/>
          </w:r>
          <w:r>
            <w:instrText xml:space="preserve"> HYPERLINK \l _Toc1912 </w:instrText>
          </w:r>
          <w:r>
            <w:fldChar w:fldCharType="separate"/>
          </w:r>
          <w:r>
            <w:rPr>
              <w:rFonts w:hint="eastAsia"/>
              <w:lang w:val="en-US" w:eastAsia="zh-CN"/>
            </w:rPr>
            <w:t>5</w:t>
          </w:r>
          <w:r>
            <w:t>.3</w:t>
          </w:r>
          <w:r>
            <w:rPr>
              <w:rFonts w:hint="eastAsia"/>
            </w:rPr>
            <w:t>废气</w:t>
          </w:r>
          <w:r>
            <w:tab/>
          </w:r>
          <w:r>
            <w:fldChar w:fldCharType="begin"/>
          </w:r>
          <w:r>
            <w:instrText xml:space="preserve"> PAGEREF _Toc1912 </w:instrText>
          </w:r>
          <w:r>
            <w:fldChar w:fldCharType="separate"/>
          </w:r>
          <w:r>
            <w:t>6</w:t>
          </w:r>
          <w:r>
            <w:fldChar w:fldCharType="end"/>
          </w:r>
          <w:r>
            <w:fldChar w:fldCharType="end"/>
          </w:r>
        </w:p>
        <w:p>
          <w:pPr>
            <w:pStyle w:val="10"/>
            <w:tabs>
              <w:tab w:val="right" w:leader="dot" w:pos="9746"/>
            </w:tabs>
          </w:pPr>
          <w:r>
            <w:fldChar w:fldCharType="begin"/>
          </w:r>
          <w:r>
            <w:instrText xml:space="preserve"> HYPERLINK \l _Toc11636 </w:instrText>
          </w:r>
          <w:r>
            <w:fldChar w:fldCharType="separate"/>
          </w:r>
          <w:r>
            <w:rPr>
              <w:rFonts w:hint="eastAsia"/>
              <w:lang w:val="en-US" w:eastAsia="zh-CN"/>
            </w:rPr>
            <w:t>5</w:t>
          </w:r>
          <w:r>
            <w:t>.4</w:t>
          </w:r>
          <w:r>
            <w:rPr>
              <w:rFonts w:hint="eastAsia"/>
            </w:rPr>
            <w:t>固体废物</w:t>
          </w:r>
          <w:r>
            <w:tab/>
          </w:r>
          <w:r>
            <w:fldChar w:fldCharType="begin"/>
          </w:r>
          <w:r>
            <w:instrText xml:space="preserve"> PAGEREF _Toc11636 </w:instrText>
          </w:r>
          <w:r>
            <w:fldChar w:fldCharType="separate"/>
          </w:r>
          <w:r>
            <w:t>7</w:t>
          </w:r>
          <w:r>
            <w:fldChar w:fldCharType="end"/>
          </w:r>
          <w:r>
            <w:fldChar w:fldCharType="end"/>
          </w:r>
        </w:p>
        <w:p>
          <w:pPr>
            <w:pStyle w:val="10"/>
            <w:tabs>
              <w:tab w:val="right" w:leader="dot" w:pos="9746"/>
            </w:tabs>
          </w:pPr>
          <w:r>
            <w:fldChar w:fldCharType="begin"/>
          </w:r>
          <w:r>
            <w:instrText xml:space="preserve"> HYPERLINK \l _Toc21705 </w:instrText>
          </w:r>
          <w:r>
            <w:fldChar w:fldCharType="separate"/>
          </w:r>
          <w:r>
            <w:rPr>
              <w:rFonts w:hint="default" w:ascii="Times New Roman" w:hAnsi="Times New Roman" w:cs="Times New Roman"/>
              <w:lang w:val="en-US" w:eastAsia="zh-CN"/>
            </w:rPr>
            <w:t>5</w:t>
          </w:r>
          <w:r>
            <w:rPr>
              <w:rFonts w:hint="default" w:ascii="Times New Roman" w:hAnsi="Times New Roman" w:cs="Times New Roman"/>
            </w:rPr>
            <w:t>.5总量控制指标</w:t>
          </w:r>
          <w:r>
            <w:tab/>
          </w:r>
          <w:r>
            <w:fldChar w:fldCharType="begin"/>
          </w:r>
          <w:r>
            <w:instrText xml:space="preserve"> PAGEREF _Toc21705 </w:instrText>
          </w:r>
          <w:r>
            <w:fldChar w:fldCharType="separate"/>
          </w:r>
          <w:r>
            <w:t>7</w:t>
          </w:r>
          <w:r>
            <w:fldChar w:fldCharType="end"/>
          </w:r>
          <w:r>
            <w:fldChar w:fldCharType="end"/>
          </w:r>
        </w:p>
        <w:p>
          <w:pPr>
            <w:pStyle w:val="9"/>
            <w:tabs>
              <w:tab w:val="right" w:leader="dot" w:pos="9746"/>
            </w:tabs>
          </w:pPr>
          <w:r>
            <w:fldChar w:fldCharType="begin"/>
          </w:r>
          <w:r>
            <w:instrText xml:space="preserve"> HYPERLINK \l _Toc5723 </w:instrText>
          </w:r>
          <w:r>
            <w:fldChar w:fldCharType="separate"/>
          </w:r>
          <w:r>
            <w:rPr>
              <w:rFonts w:hint="eastAsia"/>
              <w:lang w:val="en-US" w:eastAsia="zh-CN"/>
            </w:rPr>
            <w:t>6、</w:t>
          </w:r>
          <w:r>
            <w:rPr>
              <w:rFonts w:hint="eastAsia"/>
            </w:rPr>
            <w:t>环保投资</w:t>
          </w:r>
          <w:r>
            <w:tab/>
          </w:r>
          <w:r>
            <w:fldChar w:fldCharType="begin"/>
          </w:r>
          <w:r>
            <w:instrText xml:space="preserve"> PAGEREF _Toc5723 </w:instrText>
          </w:r>
          <w:r>
            <w:fldChar w:fldCharType="separate"/>
          </w:r>
          <w:r>
            <w:t>7</w:t>
          </w:r>
          <w:r>
            <w:fldChar w:fldCharType="end"/>
          </w:r>
          <w:r>
            <w:fldChar w:fldCharType="end"/>
          </w:r>
        </w:p>
        <w:p>
          <w:pPr>
            <w:pStyle w:val="9"/>
            <w:tabs>
              <w:tab w:val="right" w:leader="dot" w:pos="9746"/>
            </w:tabs>
          </w:pPr>
          <w:r>
            <w:fldChar w:fldCharType="begin"/>
          </w:r>
          <w:r>
            <w:instrText xml:space="preserve"> HYPERLINK \l _Toc24738 </w:instrText>
          </w:r>
          <w:r>
            <w:fldChar w:fldCharType="separate"/>
          </w:r>
          <w:r>
            <w:rPr>
              <w:rFonts w:hint="eastAsia"/>
              <w:lang w:val="en-US" w:eastAsia="zh-CN"/>
            </w:rPr>
            <w:t>7、</w:t>
          </w:r>
          <w:r>
            <w:rPr>
              <w:rFonts w:hint="eastAsia"/>
            </w:rPr>
            <w:t>审批意见</w:t>
          </w:r>
          <w:r>
            <w:tab/>
          </w:r>
          <w:r>
            <w:fldChar w:fldCharType="begin"/>
          </w:r>
          <w:r>
            <w:instrText xml:space="preserve"> PAGEREF _Toc24738 </w:instrText>
          </w:r>
          <w:r>
            <w:fldChar w:fldCharType="separate"/>
          </w:r>
          <w:r>
            <w:t>8</w:t>
          </w:r>
          <w:r>
            <w:fldChar w:fldCharType="end"/>
          </w:r>
          <w:r>
            <w:fldChar w:fldCharType="end"/>
          </w:r>
        </w:p>
        <w:p>
          <w:pPr>
            <w:pStyle w:val="9"/>
            <w:tabs>
              <w:tab w:val="right" w:leader="dot" w:pos="9746"/>
            </w:tabs>
          </w:pPr>
          <w:r>
            <w:fldChar w:fldCharType="begin"/>
          </w:r>
          <w:r>
            <w:instrText xml:space="preserve"> HYPERLINK \l _Toc29643 </w:instrText>
          </w:r>
          <w:r>
            <w:fldChar w:fldCharType="separate"/>
          </w:r>
          <w:r>
            <w:rPr>
              <w:rFonts w:hint="eastAsia"/>
              <w:lang w:val="en-US" w:eastAsia="zh-CN"/>
            </w:rPr>
            <w:t>8、</w:t>
          </w:r>
          <w:r>
            <w:rPr>
              <w:rFonts w:hint="eastAsia"/>
            </w:rPr>
            <w:t>验收监测评价标准</w:t>
          </w:r>
          <w:r>
            <w:tab/>
          </w:r>
          <w:r>
            <w:fldChar w:fldCharType="begin"/>
          </w:r>
          <w:r>
            <w:instrText xml:space="preserve"> PAGEREF _Toc29643 </w:instrText>
          </w:r>
          <w:r>
            <w:fldChar w:fldCharType="separate"/>
          </w:r>
          <w:r>
            <w:t>8</w:t>
          </w:r>
          <w:r>
            <w:fldChar w:fldCharType="end"/>
          </w:r>
          <w:r>
            <w:fldChar w:fldCharType="end"/>
          </w:r>
        </w:p>
        <w:p>
          <w:pPr>
            <w:pStyle w:val="10"/>
            <w:tabs>
              <w:tab w:val="right" w:leader="dot" w:pos="9746"/>
            </w:tabs>
          </w:pPr>
          <w:r>
            <w:fldChar w:fldCharType="begin"/>
          </w:r>
          <w:r>
            <w:instrText xml:space="preserve"> HYPERLINK \l _Toc18308 </w:instrText>
          </w:r>
          <w:r>
            <w:fldChar w:fldCharType="separate"/>
          </w:r>
          <w:r>
            <w:rPr>
              <w:rFonts w:hint="eastAsia"/>
              <w:lang w:val="en-US" w:eastAsia="zh-CN"/>
            </w:rPr>
            <w:t>8</w:t>
          </w:r>
          <w:r>
            <w:rPr>
              <w:rFonts w:hint="eastAsia"/>
            </w:rPr>
            <w:t>.1废水评价标准</w:t>
          </w:r>
          <w:r>
            <w:tab/>
          </w:r>
          <w:r>
            <w:fldChar w:fldCharType="begin"/>
          </w:r>
          <w:r>
            <w:instrText xml:space="preserve"> PAGEREF _Toc18308 </w:instrText>
          </w:r>
          <w:r>
            <w:fldChar w:fldCharType="separate"/>
          </w:r>
          <w:r>
            <w:t>8</w:t>
          </w:r>
          <w:r>
            <w:fldChar w:fldCharType="end"/>
          </w:r>
          <w:r>
            <w:fldChar w:fldCharType="end"/>
          </w:r>
        </w:p>
        <w:p>
          <w:pPr>
            <w:pStyle w:val="10"/>
            <w:tabs>
              <w:tab w:val="right" w:leader="dot" w:pos="9746"/>
            </w:tabs>
          </w:pPr>
          <w:r>
            <w:fldChar w:fldCharType="begin"/>
          </w:r>
          <w:r>
            <w:instrText xml:space="preserve"> HYPERLINK \l _Toc15152 </w:instrText>
          </w:r>
          <w:r>
            <w:fldChar w:fldCharType="separate"/>
          </w:r>
          <w:r>
            <w:rPr>
              <w:rFonts w:hint="eastAsia"/>
              <w:lang w:val="en-US" w:eastAsia="zh-CN"/>
            </w:rPr>
            <w:t>8</w:t>
          </w:r>
          <w:r>
            <w:t>.</w:t>
          </w:r>
          <w:r>
            <w:rPr>
              <w:rFonts w:hint="eastAsia"/>
            </w:rPr>
            <w:t>2废气评价标准</w:t>
          </w:r>
          <w:r>
            <w:tab/>
          </w:r>
          <w:r>
            <w:fldChar w:fldCharType="begin"/>
          </w:r>
          <w:r>
            <w:instrText xml:space="preserve"> PAGEREF _Toc15152 </w:instrText>
          </w:r>
          <w:r>
            <w:fldChar w:fldCharType="separate"/>
          </w:r>
          <w:r>
            <w:t>8</w:t>
          </w:r>
          <w:r>
            <w:fldChar w:fldCharType="end"/>
          </w:r>
          <w:r>
            <w:fldChar w:fldCharType="end"/>
          </w:r>
        </w:p>
        <w:p>
          <w:pPr>
            <w:pStyle w:val="10"/>
            <w:tabs>
              <w:tab w:val="right" w:leader="dot" w:pos="9746"/>
            </w:tabs>
          </w:pPr>
          <w:r>
            <w:fldChar w:fldCharType="begin"/>
          </w:r>
          <w:r>
            <w:instrText xml:space="preserve"> HYPERLINK \l _Toc4181 </w:instrText>
          </w:r>
          <w:r>
            <w:fldChar w:fldCharType="separate"/>
          </w:r>
          <w:r>
            <w:rPr>
              <w:rFonts w:hint="eastAsia"/>
              <w:lang w:val="en-US" w:eastAsia="zh-CN"/>
            </w:rPr>
            <w:t>8</w:t>
          </w:r>
          <w:r>
            <w:t>.</w:t>
          </w:r>
          <w:r>
            <w:rPr>
              <w:rFonts w:hint="eastAsia"/>
            </w:rPr>
            <w:t>3噪声评价标准</w:t>
          </w:r>
          <w:r>
            <w:tab/>
          </w:r>
          <w:r>
            <w:fldChar w:fldCharType="begin"/>
          </w:r>
          <w:r>
            <w:instrText xml:space="preserve"> PAGEREF _Toc4181 </w:instrText>
          </w:r>
          <w:r>
            <w:fldChar w:fldCharType="separate"/>
          </w:r>
          <w:r>
            <w:t>9</w:t>
          </w:r>
          <w:r>
            <w:fldChar w:fldCharType="end"/>
          </w:r>
          <w:r>
            <w:fldChar w:fldCharType="end"/>
          </w:r>
        </w:p>
        <w:p>
          <w:pPr>
            <w:pStyle w:val="10"/>
            <w:tabs>
              <w:tab w:val="right" w:leader="dot" w:pos="9746"/>
            </w:tabs>
          </w:pPr>
          <w:r>
            <w:fldChar w:fldCharType="begin"/>
          </w:r>
          <w:r>
            <w:instrText xml:space="preserve"> HYPERLINK \l _Toc19032 </w:instrText>
          </w:r>
          <w:r>
            <w:fldChar w:fldCharType="separate"/>
          </w:r>
          <w:r>
            <w:rPr>
              <w:rFonts w:hint="eastAsia"/>
              <w:lang w:val="en-US" w:eastAsia="zh-CN"/>
            </w:rPr>
            <w:t>8.4 验收监测质量保证及质量控制</w:t>
          </w:r>
          <w:r>
            <w:tab/>
          </w:r>
          <w:r>
            <w:fldChar w:fldCharType="begin"/>
          </w:r>
          <w:r>
            <w:instrText xml:space="preserve"> PAGEREF _Toc19032 </w:instrText>
          </w:r>
          <w:r>
            <w:fldChar w:fldCharType="separate"/>
          </w:r>
          <w:r>
            <w:t>10</w:t>
          </w:r>
          <w:r>
            <w:fldChar w:fldCharType="end"/>
          </w:r>
          <w:r>
            <w:fldChar w:fldCharType="end"/>
          </w:r>
        </w:p>
        <w:p>
          <w:pPr>
            <w:pStyle w:val="9"/>
            <w:tabs>
              <w:tab w:val="right" w:leader="dot" w:pos="9746"/>
            </w:tabs>
          </w:pPr>
          <w:r>
            <w:fldChar w:fldCharType="begin"/>
          </w:r>
          <w:r>
            <w:instrText xml:space="preserve"> HYPERLINK \l _Toc21031 </w:instrText>
          </w:r>
          <w:r>
            <w:fldChar w:fldCharType="separate"/>
          </w:r>
          <w:r>
            <w:rPr>
              <w:rFonts w:hint="eastAsia"/>
              <w:lang w:val="en-US" w:eastAsia="zh-CN"/>
            </w:rPr>
            <w:t>9、</w:t>
          </w:r>
          <w:r>
            <w:rPr>
              <w:rFonts w:hint="eastAsia"/>
            </w:rPr>
            <w:t>监测分析方法</w:t>
          </w:r>
          <w:r>
            <w:tab/>
          </w:r>
          <w:r>
            <w:fldChar w:fldCharType="begin"/>
          </w:r>
          <w:r>
            <w:instrText xml:space="preserve"> PAGEREF _Toc21031 </w:instrText>
          </w:r>
          <w:r>
            <w:fldChar w:fldCharType="separate"/>
          </w:r>
          <w:r>
            <w:t>11</w:t>
          </w:r>
          <w:r>
            <w:fldChar w:fldCharType="end"/>
          </w:r>
          <w:r>
            <w:fldChar w:fldCharType="end"/>
          </w:r>
        </w:p>
        <w:p>
          <w:pPr>
            <w:pStyle w:val="9"/>
            <w:tabs>
              <w:tab w:val="right" w:leader="dot" w:pos="9746"/>
            </w:tabs>
          </w:pPr>
          <w:r>
            <w:fldChar w:fldCharType="begin"/>
          </w:r>
          <w:r>
            <w:instrText xml:space="preserve"> HYPERLINK \l _Toc12964 </w:instrText>
          </w:r>
          <w:r>
            <w:fldChar w:fldCharType="separate"/>
          </w:r>
          <w:r>
            <w:rPr>
              <w:rFonts w:hint="eastAsia"/>
              <w:lang w:val="en-US" w:eastAsia="zh-CN"/>
            </w:rPr>
            <w:t>10、</w:t>
          </w:r>
          <w:r>
            <w:rPr>
              <w:rFonts w:hint="eastAsia"/>
            </w:rPr>
            <w:t>验收监测内容</w:t>
          </w:r>
          <w:r>
            <w:tab/>
          </w:r>
          <w:r>
            <w:fldChar w:fldCharType="begin"/>
          </w:r>
          <w:r>
            <w:instrText xml:space="preserve"> PAGEREF _Toc12964 </w:instrText>
          </w:r>
          <w:r>
            <w:fldChar w:fldCharType="separate"/>
          </w:r>
          <w:r>
            <w:t>12</w:t>
          </w:r>
          <w:r>
            <w:fldChar w:fldCharType="end"/>
          </w:r>
          <w:r>
            <w:fldChar w:fldCharType="end"/>
          </w:r>
        </w:p>
        <w:p>
          <w:pPr>
            <w:pStyle w:val="10"/>
            <w:tabs>
              <w:tab w:val="right" w:leader="dot" w:pos="9746"/>
            </w:tabs>
          </w:pPr>
          <w:r>
            <w:fldChar w:fldCharType="begin"/>
          </w:r>
          <w:r>
            <w:instrText xml:space="preserve"> HYPERLINK \l _Toc7457 </w:instrText>
          </w:r>
          <w:r>
            <w:fldChar w:fldCharType="separate"/>
          </w:r>
          <w:r>
            <w:rPr>
              <w:rFonts w:hint="eastAsia"/>
              <w:lang w:val="en-US" w:eastAsia="zh-CN"/>
            </w:rPr>
            <w:t>10</w:t>
          </w:r>
          <w:r>
            <w:t>.1</w:t>
          </w:r>
          <w:r>
            <w:rPr>
              <w:rFonts w:hint="eastAsia"/>
            </w:rPr>
            <w:t>废水监测</w:t>
          </w:r>
          <w:r>
            <w:tab/>
          </w:r>
          <w:r>
            <w:fldChar w:fldCharType="begin"/>
          </w:r>
          <w:r>
            <w:instrText xml:space="preserve"> PAGEREF _Toc7457 </w:instrText>
          </w:r>
          <w:r>
            <w:fldChar w:fldCharType="separate"/>
          </w:r>
          <w:r>
            <w:t>12</w:t>
          </w:r>
          <w:r>
            <w:fldChar w:fldCharType="end"/>
          </w:r>
          <w:r>
            <w:fldChar w:fldCharType="end"/>
          </w:r>
        </w:p>
        <w:p>
          <w:pPr>
            <w:pStyle w:val="10"/>
            <w:tabs>
              <w:tab w:val="right" w:leader="dot" w:pos="9746"/>
            </w:tabs>
          </w:pPr>
          <w:r>
            <w:fldChar w:fldCharType="begin"/>
          </w:r>
          <w:r>
            <w:instrText xml:space="preserve"> HYPERLINK \l _Toc7868 </w:instrText>
          </w:r>
          <w:r>
            <w:fldChar w:fldCharType="separate"/>
          </w:r>
          <w:r>
            <w:rPr>
              <w:rFonts w:hint="eastAsia"/>
              <w:lang w:val="en-US" w:eastAsia="zh-CN"/>
            </w:rPr>
            <w:t>10</w:t>
          </w:r>
          <w:r>
            <w:t>.</w:t>
          </w:r>
          <w:r>
            <w:rPr>
              <w:rFonts w:hint="eastAsia"/>
            </w:rPr>
            <w:t>2废气</w:t>
          </w:r>
          <w:r>
            <w:t>监测</w:t>
          </w:r>
          <w:r>
            <w:tab/>
          </w:r>
          <w:r>
            <w:fldChar w:fldCharType="begin"/>
          </w:r>
          <w:r>
            <w:instrText xml:space="preserve"> PAGEREF _Toc7868 </w:instrText>
          </w:r>
          <w:r>
            <w:fldChar w:fldCharType="separate"/>
          </w:r>
          <w:r>
            <w:t>13</w:t>
          </w:r>
          <w:r>
            <w:fldChar w:fldCharType="end"/>
          </w:r>
          <w:r>
            <w:fldChar w:fldCharType="end"/>
          </w:r>
        </w:p>
        <w:p>
          <w:pPr>
            <w:pStyle w:val="10"/>
            <w:tabs>
              <w:tab w:val="right" w:leader="dot" w:pos="9746"/>
            </w:tabs>
          </w:pPr>
          <w:r>
            <w:fldChar w:fldCharType="begin"/>
          </w:r>
          <w:r>
            <w:instrText xml:space="preserve"> HYPERLINK \l _Toc26595 </w:instrText>
          </w:r>
          <w:r>
            <w:fldChar w:fldCharType="separate"/>
          </w:r>
          <w:r>
            <w:rPr>
              <w:rFonts w:hint="eastAsia"/>
              <w:lang w:val="en-US" w:eastAsia="zh-CN"/>
            </w:rPr>
            <w:t>10</w:t>
          </w:r>
          <w:r>
            <w:t>.</w:t>
          </w:r>
          <w:r>
            <w:rPr>
              <w:rFonts w:hint="eastAsia"/>
              <w:lang w:val="en-US" w:eastAsia="zh-CN"/>
            </w:rPr>
            <w:t>3</w:t>
          </w:r>
          <w:r>
            <w:rPr>
              <w:rFonts w:hint="eastAsia"/>
              <w:lang w:eastAsia="zh-CN"/>
            </w:rPr>
            <w:t>厂界噪声</w:t>
          </w:r>
          <w:r>
            <w:t>监测</w:t>
          </w:r>
          <w:r>
            <w:tab/>
          </w:r>
          <w:r>
            <w:fldChar w:fldCharType="begin"/>
          </w:r>
          <w:r>
            <w:instrText xml:space="preserve"> PAGEREF _Toc26595 </w:instrText>
          </w:r>
          <w:r>
            <w:fldChar w:fldCharType="separate"/>
          </w:r>
          <w:r>
            <w:t>17</w:t>
          </w:r>
          <w:r>
            <w:fldChar w:fldCharType="end"/>
          </w:r>
          <w:r>
            <w:fldChar w:fldCharType="end"/>
          </w:r>
        </w:p>
        <w:p>
          <w:pPr>
            <w:pStyle w:val="10"/>
            <w:tabs>
              <w:tab w:val="right" w:leader="dot" w:pos="9746"/>
            </w:tabs>
          </w:pPr>
          <w:r>
            <w:fldChar w:fldCharType="begin"/>
          </w:r>
          <w:r>
            <w:instrText xml:space="preserve"> HYPERLINK \l _Toc12021 </w:instrText>
          </w:r>
          <w:r>
            <w:fldChar w:fldCharType="separate"/>
          </w:r>
          <w:r>
            <w:rPr>
              <w:rFonts w:hint="eastAsia"/>
              <w:lang w:val="en-US" w:eastAsia="zh-CN"/>
            </w:rPr>
            <w:t>10</w:t>
          </w:r>
          <w:r>
            <w:t>.</w:t>
          </w:r>
          <w:r>
            <w:rPr>
              <w:rFonts w:hint="eastAsia"/>
            </w:rPr>
            <w:t>4检测位置平面图</w:t>
          </w:r>
          <w:r>
            <w:tab/>
          </w:r>
          <w:r>
            <w:fldChar w:fldCharType="begin"/>
          </w:r>
          <w:r>
            <w:instrText xml:space="preserve"> PAGEREF _Toc12021 </w:instrText>
          </w:r>
          <w:r>
            <w:fldChar w:fldCharType="separate"/>
          </w:r>
          <w:r>
            <w:t>18</w:t>
          </w:r>
          <w:r>
            <w:fldChar w:fldCharType="end"/>
          </w:r>
          <w:r>
            <w:fldChar w:fldCharType="end"/>
          </w:r>
        </w:p>
        <w:p>
          <w:pPr>
            <w:pStyle w:val="9"/>
            <w:tabs>
              <w:tab w:val="right" w:leader="dot" w:pos="9746"/>
            </w:tabs>
          </w:pPr>
          <w:r>
            <w:fldChar w:fldCharType="begin"/>
          </w:r>
          <w:r>
            <w:instrText xml:space="preserve"> HYPERLINK \l _Toc3292 </w:instrText>
          </w:r>
          <w:r>
            <w:fldChar w:fldCharType="separate"/>
          </w:r>
          <w:r>
            <w:rPr>
              <w:rFonts w:hint="eastAsia"/>
              <w:lang w:val="en-US" w:eastAsia="zh-CN"/>
            </w:rPr>
            <w:t>11、</w:t>
          </w:r>
          <w:r>
            <w:rPr>
              <w:rFonts w:hint="eastAsia"/>
            </w:rPr>
            <w:t>环保管理检查</w:t>
          </w:r>
          <w:r>
            <w:tab/>
          </w:r>
          <w:r>
            <w:fldChar w:fldCharType="begin"/>
          </w:r>
          <w:r>
            <w:instrText xml:space="preserve"> PAGEREF _Toc3292 </w:instrText>
          </w:r>
          <w:r>
            <w:fldChar w:fldCharType="separate"/>
          </w:r>
          <w:r>
            <w:t>19</w:t>
          </w:r>
          <w:r>
            <w:fldChar w:fldCharType="end"/>
          </w:r>
          <w:r>
            <w:fldChar w:fldCharType="end"/>
          </w:r>
        </w:p>
        <w:p>
          <w:pPr>
            <w:pStyle w:val="9"/>
            <w:tabs>
              <w:tab w:val="right" w:leader="dot" w:pos="9746"/>
            </w:tabs>
          </w:pPr>
          <w:r>
            <w:fldChar w:fldCharType="begin"/>
          </w:r>
          <w:r>
            <w:instrText xml:space="preserve"> HYPERLINK \l _Toc21340 </w:instrText>
          </w:r>
          <w:r>
            <w:fldChar w:fldCharType="separate"/>
          </w:r>
          <w:r>
            <w:rPr>
              <w:rFonts w:hint="eastAsia"/>
              <w:lang w:val="en-US" w:eastAsia="zh-CN"/>
            </w:rPr>
            <w:t>12、</w:t>
          </w:r>
          <w:r>
            <w:rPr>
              <w:rFonts w:hint="eastAsia"/>
            </w:rPr>
            <w:t>结论与后续工作</w:t>
          </w:r>
          <w:r>
            <w:tab/>
          </w:r>
          <w:r>
            <w:fldChar w:fldCharType="begin"/>
          </w:r>
          <w:r>
            <w:instrText xml:space="preserve"> PAGEREF _Toc21340 </w:instrText>
          </w:r>
          <w:r>
            <w:fldChar w:fldCharType="separate"/>
          </w:r>
          <w:r>
            <w:t>21</w:t>
          </w:r>
          <w:r>
            <w:fldChar w:fldCharType="end"/>
          </w:r>
          <w:r>
            <w:fldChar w:fldCharType="end"/>
          </w:r>
        </w:p>
        <w:p>
          <w:pPr>
            <w:pStyle w:val="10"/>
            <w:tabs>
              <w:tab w:val="right" w:leader="dot" w:pos="9746"/>
            </w:tabs>
          </w:pPr>
          <w:r>
            <w:fldChar w:fldCharType="begin"/>
          </w:r>
          <w:r>
            <w:instrText xml:space="preserve"> HYPERLINK \l _Toc24784 </w:instrText>
          </w:r>
          <w:r>
            <w:fldChar w:fldCharType="separate"/>
          </w:r>
          <w:r>
            <w:rPr>
              <w:rFonts w:hint="eastAsia"/>
              <w:lang w:val="en-US" w:eastAsia="zh-CN"/>
            </w:rPr>
            <w:t>12</w:t>
          </w:r>
          <w:r>
            <w:rPr>
              <w:rFonts w:hint="eastAsia"/>
            </w:rPr>
            <w:t>.1结论</w:t>
          </w:r>
          <w:r>
            <w:tab/>
          </w:r>
          <w:r>
            <w:fldChar w:fldCharType="begin"/>
          </w:r>
          <w:r>
            <w:instrText xml:space="preserve"> PAGEREF _Toc24784 </w:instrText>
          </w:r>
          <w:r>
            <w:fldChar w:fldCharType="separate"/>
          </w:r>
          <w:r>
            <w:t>21</w:t>
          </w:r>
          <w:r>
            <w:fldChar w:fldCharType="end"/>
          </w:r>
          <w:r>
            <w:fldChar w:fldCharType="end"/>
          </w:r>
        </w:p>
        <w:p>
          <w:pPr>
            <w:pStyle w:val="10"/>
            <w:tabs>
              <w:tab w:val="right" w:leader="dot" w:pos="9746"/>
            </w:tabs>
          </w:pPr>
          <w:r>
            <w:fldChar w:fldCharType="begin"/>
          </w:r>
          <w:r>
            <w:instrText xml:space="preserve"> HYPERLINK \l _Toc22252 </w:instrText>
          </w:r>
          <w:r>
            <w:fldChar w:fldCharType="separate"/>
          </w:r>
          <w:r>
            <w:rPr>
              <w:rFonts w:hint="eastAsia"/>
              <w:lang w:val="en-US" w:eastAsia="zh-CN"/>
            </w:rPr>
            <w:t>12</w:t>
          </w:r>
          <w:r>
            <w:rPr>
              <w:rFonts w:hint="eastAsia"/>
            </w:rPr>
            <w:t>.2后续工作</w:t>
          </w:r>
          <w:r>
            <w:tab/>
          </w:r>
          <w:r>
            <w:fldChar w:fldCharType="begin"/>
          </w:r>
          <w:r>
            <w:instrText xml:space="preserve"> PAGEREF _Toc22252 </w:instrText>
          </w:r>
          <w:r>
            <w:fldChar w:fldCharType="separate"/>
          </w:r>
          <w:r>
            <w:t>22</w:t>
          </w:r>
          <w:r>
            <w:fldChar w:fldCharType="end"/>
          </w:r>
          <w:r>
            <w:fldChar w:fldCharType="end"/>
          </w:r>
        </w:p>
        <w:p>
          <w:pPr>
            <w:pStyle w:val="9"/>
            <w:tabs>
              <w:tab w:val="right" w:leader="dot" w:pos="9746"/>
            </w:tabs>
          </w:pPr>
        </w:p>
        <w:p>
          <w:r>
            <w:fldChar w:fldCharType="end"/>
          </w:r>
        </w:p>
      </w:sdtContent>
    </w:sdt>
    <w:p>
      <w:pPr>
        <w:pStyle w:val="3"/>
        <w:sectPr>
          <w:footerReference r:id="rId3" w:type="default"/>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pPr>
      <w:bookmarkStart w:id="0" w:name="_Toc31025"/>
      <w:r>
        <w:t>1</w:t>
      </w:r>
      <w:r>
        <w:rPr>
          <w:rFonts w:hint="eastAsia"/>
          <w:lang w:eastAsia="zh-CN"/>
        </w:rPr>
        <w:t>、</w:t>
      </w:r>
      <w:r>
        <w:rPr>
          <w:rFonts w:hint="eastAsia"/>
        </w:rPr>
        <w:t>项目概况</w:t>
      </w:r>
      <w:bookmarkEnd w:id="0"/>
    </w:p>
    <w:p>
      <w:pPr>
        <w:ind w:firstLine="482"/>
      </w:pPr>
      <w:r>
        <w:rPr>
          <w:rFonts w:hint="eastAsia"/>
          <w:b/>
          <w:bCs/>
        </w:rPr>
        <w:t>项目名称：</w:t>
      </w:r>
      <w:r>
        <w:rPr>
          <w:rFonts w:hint="eastAsia"/>
          <w:lang w:val="en-US" w:eastAsia="zh-CN"/>
        </w:rPr>
        <w:t>海上风电智能制造</w:t>
      </w:r>
      <w:r>
        <w:t>项目</w:t>
      </w:r>
    </w:p>
    <w:p>
      <w:pPr>
        <w:ind w:firstLine="482"/>
        <w:rPr>
          <w:rFonts w:hint="eastAsia"/>
          <w:lang w:eastAsia="zh-CN"/>
        </w:rPr>
      </w:pPr>
      <w:r>
        <w:rPr>
          <w:rFonts w:hint="eastAsia"/>
          <w:b/>
          <w:bCs/>
        </w:rPr>
        <w:t>性质：</w:t>
      </w:r>
      <w:r>
        <w:rPr>
          <w:rFonts w:hint="eastAsia"/>
          <w:lang w:val="en-US" w:eastAsia="zh-CN"/>
        </w:rPr>
        <w:t>新建</w:t>
      </w:r>
    </w:p>
    <w:p>
      <w:pPr>
        <w:ind w:firstLine="482"/>
      </w:pPr>
      <w:r>
        <w:rPr>
          <w:rFonts w:hint="eastAsia"/>
          <w:b/>
          <w:bCs/>
        </w:rPr>
        <w:t>建设单位：</w:t>
      </w:r>
      <w:r>
        <w:rPr>
          <w:rFonts w:hint="eastAsia"/>
          <w:lang w:val="en-US" w:eastAsia="zh-CN"/>
        </w:rPr>
        <w:t>上海电气风电广东</w:t>
      </w:r>
      <w:r>
        <w:t>有限公司</w:t>
      </w:r>
    </w:p>
    <w:p>
      <w:pPr>
        <w:ind w:firstLine="482"/>
        <w:rPr>
          <w:rFonts w:hint="default" w:eastAsia="宋体"/>
          <w:lang w:val="en-US" w:eastAsia="zh-CN"/>
        </w:rPr>
      </w:pPr>
      <w:r>
        <w:rPr>
          <w:rFonts w:hint="eastAsia"/>
          <w:b/>
          <w:bCs/>
        </w:rPr>
        <w:t>法人代表/联系人：</w:t>
      </w:r>
      <w:r>
        <w:rPr>
          <w:rFonts w:hint="eastAsia"/>
          <w:lang w:val="en-US" w:eastAsia="zh-CN"/>
        </w:rPr>
        <w:t>金孝龙</w:t>
      </w:r>
    </w:p>
    <w:p>
      <w:pPr>
        <w:ind w:firstLine="482"/>
      </w:pPr>
      <w:r>
        <w:rPr>
          <w:rFonts w:hint="eastAsia"/>
          <w:b/>
          <w:bCs/>
        </w:rPr>
        <w:t>联系电话：</w:t>
      </w:r>
      <w:r>
        <w:rPr>
          <w:rFonts w:hint="default" w:ascii="Times New Roman" w:hAnsi="Times New Roman" w:eastAsia="宋体" w:cs="Times New Roman"/>
          <w:color w:val="auto"/>
          <w:kern w:val="0"/>
          <w:sz w:val="24"/>
          <w:szCs w:val="24"/>
          <w:highlight w:val="none"/>
          <w:lang w:val="en-US" w:eastAsia="zh-CN"/>
        </w:rPr>
        <w:t>13621886112</w:t>
      </w:r>
    </w:p>
    <w:p>
      <w:pPr>
        <w:pStyle w:val="2"/>
        <w:spacing w:line="360" w:lineRule="auto"/>
        <w:ind w:firstLine="482" w:firstLineChars="200"/>
        <w:jc w:val="both"/>
        <w:rPr>
          <w:rFonts w:hint="default" w:ascii="Times New Roman" w:hAnsi="Times New Roman"/>
        </w:rPr>
      </w:pPr>
      <w:r>
        <w:rPr>
          <w:rFonts w:ascii="Times New Roman" w:hAnsi="Times New Roman"/>
          <w:b/>
          <w:bCs/>
        </w:rPr>
        <w:t>通讯地址：</w:t>
      </w:r>
      <w:r>
        <w:rPr>
          <w:rFonts w:hint="default" w:ascii="Times New Roman" w:hAnsi="Times New Roman" w:eastAsia="宋体" w:cs="Times New Roman"/>
          <w:color w:val="auto"/>
          <w:sz w:val="24"/>
          <w:szCs w:val="24"/>
          <w:highlight w:val="none"/>
        </w:rPr>
        <w:t>汕头市</w:t>
      </w:r>
      <w:r>
        <w:rPr>
          <w:rFonts w:hint="default" w:ascii="Times New Roman" w:hAnsi="Times New Roman" w:eastAsia="宋体" w:cs="Times New Roman"/>
          <w:color w:val="auto"/>
          <w:sz w:val="24"/>
          <w:szCs w:val="24"/>
          <w:highlight w:val="none"/>
          <w:lang w:eastAsia="zh-CN"/>
        </w:rPr>
        <w:t>濠江区企业投资管理服务中心办公楼</w:t>
      </w:r>
      <w:r>
        <w:rPr>
          <w:rFonts w:hint="default" w:ascii="Times New Roman" w:hAnsi="Times New Roman" w:eastAsia="宋体" w:cs="Times New Roman"/>
          <w:color w:val="auto"/>
          <w:sz w:val="24"/>
          <w:szCs w:val="24"/>
          <w:highlight w:val="none"/>
          <w:lang w:val="en-US" w:eastAsia="zh-CN"/>
        </w:rPr>
        <w:t>155号</w:t>
      </w:r>
    </w:p>
    <w:p>
      <w:pPr>
        <w:pStyle w:val="2"/>
        <w:spacing w:line="360" w:lineRule="auto"/>
        <w:ind w:firstLine="482" w:firstLineChars="200"/>
        <w:rPr>
          <w:rFonts w:hint="default" w:ascii="Times New Roman" w:hAnsi="Times New Roman"/>
          <w:b/>
          <w:bCs/>
          <w:color w:val="auto"/>
          <w:kern w:val="2"/>
        </w:rPr>
      </w:pPr>
      <w:r>
        <w:rPr>
          <w:rFonts w:ascii="Times New Roman" w:hAnsi="Times New Roman"/>
          <w:b/>
          <w:bCs/>
          <w:color w:val="auto"/>
          <w:kern w:val="2"/>
        </w:rPr>
        <w:t>建设地点：</w:t>
      </w:r>
      <w:r>
        <w:rPr>
          <w:rFonts w:hint="default" w:ascii="Times New Roman" w:hAnsi="Times New Roman" w:eastAsia="宋体" w:cs="Times New Roman"/>
          <w:color w:val="auto"/>
          <w:sz w:val="24"/>
          <w:szCs w:val="24"/>
          <w:highlight w:val="none"/>
        </w:rPr>
        <w:t>汕头市濠江区广澳街道</w:t>
      </w:r>
      <w:r>
        <w:rPr>
          <w:rFonts w:hint="default" w:ascii="Times New Roman" w:hAnsi="Times New Roman" w:eastAsia="宋体" w:cs="Times New Roman"/>
          <w:color w:val="auto"/>
          <w:sz w:val="24"/>
          <w:szCs w:val="24"/>
          <w:highlight w:val="none"/>
          <w:lang w:eastAsia="zh-CN"/>
        </w:rPr>
        <w:t>广澳物流园片区</w:t>
      </w:r>
      <w:r>
        <w:rPr>
          <w:rFonts w:hint="default" w:ascii="Times New Roman" w:hAnsi="Times New Roman" w:eastAsia="宋体" w:cs="Times New Roman"/>
          <w:color w:val="auto"/>
          <w:sz w:val="24"/>
          <w:szCs w:val="24"/>
          <w:highlight w:val="none"/>
          <w:lang w:val="en-US" w:eastAsia="zh-CN"/>
        </w:rPr>
        <w:t>B01地块</w:t>
      </w:r>
    </w:p>
    <w:p>
      <w:pPr>
        <w:pStyle w:val="2"/>
        <w:spacing w:line="360" w:lineRule="auto"/>
        <w:ind w:firstLine="482" w:firstLineChars="200"/>
        <w:rPr>
          <w:rFonts w:hint="eastAsia" w:ascii="Times New Roman" w:hAnsi="Times New Roman" w:eastAsia="宋体"/>
          <w:b/>
          <w:bCs w:val="0"/>
          <w:vertAlign w:val="baseline"/>
          <w:lang w:val="en-US" w:eastAsia="zh-CN"/>
        </w:rPr>
      </w:pPr>
      <w:r>
        <w:rPr>
          <w:rFonts w:hint="eastAsia" w:ascii="Times New Roman" w:hAnsi="Times New Roman"/>
          <w:b/>
          <w:bCs/>
          <w:color w:val="auto"/>
          <w:kern w:val="2"/>
          <w:lang w:val="en-US" w:eastAsia="zh-CN"/>
        </w:rPr>
        <w:t>占地</w:t>
      </w:r>
      <w:r>
        <w:rPr>
          <w:rFonts w:ascii="Times New Roman" w:hAnsi="Times New Roman"/>
          <w:b/>
          <w:bCs/>
          <w:color w:val="auto"/>
          <w:kern w:val="2"/>
        </w:rPr>
        <w:t>面积：</w:t>
      </w:r>
      <w:r>
        <w:rPr>
          <w:rFonts w:hint="default" w:ascii="Times New Roman" w:hAnsi="Times New Roman" w:eastAsia="宋体" w:cs="Times New Roman"/>
          <w:color w:val="auto"/>
          <w:sz w:val="24"/>
          <w:szCs w:val="24"/>
          <w:highlight w:val="none"/>
          <w:lang w:val="en-US" w:eastAsia="zh-CN"/>
        </w:rPr>
        <w:t>90761.341</w:t>
      </w:r>
      <w:r>
        <w:rPr>
          <w:rFonts w:hint="default" w:ascii="Times New Roman" w:hAnsi="Times New Roman"/>
          <w:bCs/>
        </w:rPr>
        <w:t>m</w:t>
      </w:r>
      <w:r>
        <w:rPr>
          <w:rFonts w:hint="default" w:ascii="Times New Roman" w:hAnsi="Times New Roman"/>
          <w:bCs/>
          <w:vertAlign w:val="superscript"/>
        </w:rPr>
        <w:t>2</w:t>
      </w:r>
      <w:r>
        <w:rPr>
          <w:rFonts w:hint="eastAsia" w:ascii="Times New Roman" w:hAnsi="Times New Roman"/>
          <w:bCs/>
          <w:vertAlign w:val="baseline"/>
          <w:lang w:eastAsia="zh-CN"/>
        </w:rPr>
        <w:t>；</w:t>
      </w:r>
      <w:r>
        <w:rPr>
          <w:rFonts w:hint="eastAsia" w:ascii="Times New Roman" w:hAnsi="Times New Roman"/>
          <w:b/>
          <w:bCs w:val="0"/>
          <w:vertAlign w:val="baseline"/>
          <w:lang w:val="en-US" w:eastAsia="zh-CN"/>
        </w:rPr>
        <w:t>建筑面积：</w:t>
      </w:r>
      <w:r>
        <w:rPr>
          <w:rFonts w:hint="default" w:ascii="Times New Roman" w:hAnsi="Times New Roman" w:eastAsia="宋体" w:cs="Times New Roman"/>
          <w:color w:val="auto"/>
          <w:sz w:val="24"/>
          <w:szCs w:val="24"/>
          <w:highlight w:val="none"/>
          <w:lang w:val="en-US" w:eastAsia="zh-CN"/>
        </w:rPr>
        <w:t>31838m</w:t>
      </w:r>
      <w:r>
        <w:rPr>
          <w:rFonts w:hint="default" w:ascii="Times New Roman" w:hAnsi="Times New Roman" w:eastAsia="宋体" w:cs="Times New Roman"/>
          <w:color w:val="auto"/>
          <w:sz w:val="24"/>
          <w:szCs w:val="24"/>
          <w:highlight w:val="none"/>
          <w:vertAlign w:val="superscript"/>
          <w:lang w:val="en-US" w:eastAsia="zh-CN"/>
        </w:rPr>
        <w:t>2</w:t>
      </w:r>
    </w:p>
    <w:p>
      <w:pPr>
        <w:ind w:firstLine="482"/>
        <w:rPr>
          <w:rFonts w:hint="eastAsia" w:eastAsia="宋体"/>
          <w:lang w:eastAsia="zh-CN"/>
        </w:rPr>
      </w:pPr>
      <w:r>
        <w:rPr>
          <w:rFonts w:hint="eastAsia"/>
          <w:b/>
          <w:bCs/>
        </w:rPr>
        <w:t>环评报告表编制单位</w:t>
      </w:r>
      <w:r>
        <w:rPr>
          <w:rFonts w:hint="eastAsia"/>
          <w:b/>
          <w:bCs/>
          <w:lang w:eastAsia="zh-CN"/>
        </w:rPr>
        <w:t>及</w:t>
      </w:r>
      <w:r>
        <w:rPr>
          <w:rFonts w:hint="eastAsia"/>
          <w:b/>
          <w:bCs/>
        </w:rPr>
        <w:t>完成时间：</w:t>
      </w:r>
      <w:r>
        <w:t>201</w:t>
      </w:r>
      <w:r>
        <w:rPr>
          <w:rFonts w:hint="eastAsia"/>
          <w:lang w:val="en-US" w:eastAsia="zh-CN"/>
        </w:rPr>
        <w:t>8</w:t>
      </w:r>
      <w:r>
        <w:t>年</w:t>
      </w:r>
      <w:r>
        <w:rPr>
          <w:rFonts w:hint="eastAsia"/>
          <w:lang w:val="en-US" w:eastAsia="zh-CN"/>
        </w:rPr>
        <w:t>4</w:t>
      </w:r>
      <w:r>
        <w:t>月由</w:t>
      </w:r>
      <w:r>
        <w:rPr>
          <w:rFonts w:hint="eastAsia"/>
          <w:lang w:val="en-US" w:eastAsia="zh-CN"/>
        </w:rPr>
        <w:t>广东志华环保科技有限公司</w:t>
      </w:r>
      <w:r>
        <w:t>完成了环境影响报告表的编制</w:t>
      </w:r>
      <w:r>
        <w:rPr>
          <w:rFonts w:hint="eastAsia"/>
          <w:lang w:eastAsia="zh-CN"/>
        </w:rPr>
        <w:t>。</w:t>
      </w:r>
    </w:p>
    <w:p>
      <w:pPr>
        <w:ind w:firstLine="482"/>
      </w:pPr>
      <w:r>
        <w:rPr>
          <w:b/>
          <w:bCs/>
        </w:rPr>
        <w:t>环评审批部门、审批时间及文号：</w:t>
      </w:r>
      <w:r>
        <w:t>20</w:t>
      </w:r>
      <w:r>
        <w:rPr>
          <w:rFonts w:hint="eastAsia"/>
          <w:lang w:val="en-US" w:eastAsia="zh-CN"/>
        </w:rPr>
        <w:t>18</w:t>
      </w:r>
      <w:r>
        <w:t>年</w:t>
      </w:r>
      <w:r>
        <w:rPr>
          <w:rFonts w:hint="eastAsia"/>
          <w:lang w:val="en-US" w:eastAsia="zh-CN"/>
        </w:rPr>
        <w:t>7</w:t>
      </w:r>
      <w:r>
        <w:t>月</w:t>
      </w:r>
      <w:r>
        <w:rPr>
          <w:rFonts w:hint="eastAsia"/>
          <w:lang w:val="en-US" w:eastAsia="zh-CN"/>
        </w:rPr>
        <w:t>2</w:t>
      </w:r>
      <w:r>
        <w:t>日，</w:t>
      </w:r>
      <w:r>
        <w:rPr>
          <w:rFonts w:hint="eastAsia"/>
          <w:lang w:val="en-US" w:eastAsia="zh-CN"/>
        </w:rPr>
        <w:t>汕头市濠江区城市建设管理和环境保护局</w:t>
      </w:r>
      <w:r>
        <w:t>对该项目进行审批，批准文号为</w:t>
      </w:r>
      <w:r>
        <w:rPr>
          <w:rFonts w:hint="eastAsia"/>
        </w:rPr>
        <w:t>汕</w:t>
      </w:r>
      <w:r>
        <w:rPr>
          <w:rFonts w:hint="eastAsia"/>
          <w:lang w:val="en-US" w:eastAsia="zh-CN"/>
        </w:rPr>
        <w:t>濠环</w:t>
      </w:r>
      <w:r>
        <w:rPr>
          <w:rFonts w:hint="eastAsia"/>
        </w:rPr>
        <w:t>建【20</w:t>
      </w:r>
      <w:r>
        <w:rPr>
          <w:rFonts w:hint="eastAsia"/>
          <w:lang w:val="en-US" w:eastAsia="zh-CN"/>
        </w:rPr>
        <w:t>18</w:t>
      </w:r>
      <w:r>
        <w:rPr>
          <w:rFonts w:hint="eastAsia"/>
        </w:rPr>
        <w:t>】2</w:t>
      </w:r>
      <w:r>
        <w:rPr>
          <w:rFonts w:hint="eastAsia"/>
          <w:lang w:val="en-US" w:eastAsia="zh-CN"/>
        </w:rPr>
        <w:t>5</w:t>
      </w:r>
      <w:r>
        <w:rPr>
          <w:rFonts w:hint="eastAsia"/>
        </w:rPr>
        <w:t>号</w:t>
      </w:r>
      <w:r>
        <w:rPr>
          <w:rFonts w:hint="eastAsia"/>
          <w:lang w:val="en-US" w:eastAsia="zh-CN"/>
        </w:rPr>
        <w:t>。</w:t>
      </w:r>
    </w:p>
    <w:p>
      <w:pPr>
        <w:ind w:firstLine="482"/>
        <w:rPr>
          <w:rFonts w:hint="default" w:eastAsia="宋体"/>
          <w:color w:val="5B9BD5" w:themeColor="accent1"/>
          <w:lang w:val="en-US" w:eastAsia="zh-CN"/>
          <w14:textFill>
            <w14:solidFill>
              <w14:schemeClr w14:val="accent1"/>
            </w14:solidFill>
          </w14:textFill>
        </w:rPr>
      </w:pPr>
      <w:r>
        <w:rPr>
          <w:b/>
          <w:bCs/>
        </w:rPr>
        <w:t>开工时间：</w:t>
      </w:r>
      <w:r>
        <w:rPr>
          <w:rFonts w:hint="default" w:ascii="Times New Roman" w:hAnsi="Times New Roman" w:cs="Times New Roman" w:eastAsiaTheme="minorEastAsia"/>
          <w:b w:val="0"/>
          <w:bCs w:val="0"/>
          <w:lang w:val="en-US" w:eastAsia="zh-CN"/>
        </w:rPr>
        <w:t>2018年12月</w:t>
      </w:r>
      <w:r>
        <w:rPr>
          <w:rFonts w:hint="eastAsia" w:ascii="Times New Roman" w:hAnsi="Times New Roman" w:cs="Times New Roman" w:eastAsiaTheme="minorEastAsia"/>
          <w:b w:val="0"/>
          <w:bCs w:val="0"/>
          <w:lang w:val="en-US" w:eastAsia="zh-CN"/>
        </w:rPr>
        <w:t>；</w:t>
      </w:r>
      <w:r>
        <w:rPr>
          <w:rFonts w:hint="eastAsia"/>
          <w:b/>
          <w:bCs/>
          <w:lang w:val="en-US" w:eastAsia="zh-CN"/>
        </w:rPr>
        <w:t>竣工</w:t>
      </w:r>
      <w:r>
        <w:rPr>
          <w:b/>
          <w:bCs/>
        </w:rPr>
        <w:t>时间：</w:t>
      </w:r>
      <w:r>
        <w:rPr>
          <w:rFonts w:hint="default" w:ascii="Times New Roman" w:hAnsi="Times New Roman" w:cs="Times New Roman" w:eastAsiaTheme="minorEastAsia"/>
          <w:b w:val="0"/>
          <w:bCs w:val="0"/>
          <w:lang w:val="en-US" w:eastAsia="zh-CN"/>
        </w:rPr>
        <w:t>20</w:t>
      </w:r>
      <w:r>
        <w:rPr>
          <w:rFonts w:hint="eastAsia" w:cs="Times New Roman" w:eastAsiaTheme="minorEastAsia"/>
          <w:b w:val="0"/>
          <w:bCs w:val="0"/>
          <w:lang w:val="en-US" w:eastAsia="zh-CN"/>
        </w:rPr>
        <w:t>20</w:t>
      </w:r>
      <w:r>
        <w:rPr>
          <w:rFonts w:hint="default" w:ascii="Times New Roman" w:hAnsi="Times New Roman" w:cs="Times New Roman" w:eastAsiaTheme="minorEastAsia"/>
          <w:b w:val="0"/>
          <w:bCs w:val="0"/>
          <w:lang w:val="en-US" w:eastAsia="zh-CN"/>
        </w:rPr>
        <w:t>年</w:t>
      </w:r>
      <w:r>
        <w:rPr>
          <w:rFonts w:hint="eastAsia" w:cs="Times New Roman" w:eastAsiaTheme="minorEastAsia"/>
          <w:b w:val="0"/>
          <w:bCs w:val="0"/>
          <w:lang w:val="en-US" w:eastAsia="zh-CN"/>
        </w:rPr>
        <w:t>3</w:t>
      </w:r>
      <w:r>
        <w:rPr>
          <w:rFonts w:hint="default" w:ascii="Times New Roman" w:hAnsi="Times New Roman" w:cs="Times New Roman" w:eastAsiaTheme="minorEastAsia"/>
          <w:b w:val="0"/>
          <w:bCs w:val="0"/>
          <w:lang w:val="en-US" w:eastAsia="zh-CN"/>
        </w:rPr>
        <w:t>月</w:t>
      </w:r>
    </w:p>
    <w:p>
      <w:pPr>
        <w:ind w:firstLine="480"/>
      </w:pPr>
      <w:r>
        <w:t>受建设单位</w:t>
      </w:r>
      <w:r>
        <w:rPr>
          <w:rFonts w:hint="eastAsia"/>
          <w:lang w:eastAsia="zh-CN"/>
        </w:rPr>
        <w:t>上海电气风电广东</w:t>
      </w:r>
      <w:r>
        <w:t>有限公司</w:t>
      </w:r>
      <w:r>
        <w:rPr>
          <w:color w:val="auto"/>
        </w:rPr>
        <w:t>委托</w:t>
      </w:r>
      <w:r>
        <w:rPr>
          <w:rFonts w:hint="eastAsia"/>
          <w:color w:val="auto"/>
          <w:lang w:eastAsia="zh-CN"/>
        </w:rPr>
        <w:t>广东精正检测有限公司</w:t>
      </w:r>
      <w:r>
        <w:rPr>
          <w:color w:val="auto"/>
        </w:rPr>
        <w:t>对</w:t>
      </w:r>
      <w:r>
        <w:rPr>
          <w:rFonts w:hint="eastAsia"/>
        </w:rPr>
        <w:t>该</w:t>
      </w:r>
      <w:r>
        <w:t>项目进行竣工环境保护验收</w:t>
      </w:r>
      <w:r>
        <w:rPr>
          <w:rFonts w:hint="eastAsia"/>
        </w:rPr>
        <w:t>监</w:t>
      </w:r>
      <w:r>
        <w:t>测。</w:t>
      </w:r>
      <w:r>
        <w:rPr>
          <w:rFonts w:hint="eastAsia"/>
          <w:lang w:eastAsia="zh-CN"/>
        </w:rPr>
        <w:t>广东精正检测有限公司</w:t>
      </w:r>
      <w:r>
        <w:rPr>
          <w:rFonts w:hint="eastAsia"/>
        </w:rPr>
        <w:t>于</w:t>
      </w:r>
      <w:r>
        <w:rPr>
          <w:rFonts w:hint="eastAsia"/>
          <w:color w:val="auto"/>
        </w:rPr>
        <w:t>20</w:t>
      </w:r>
      <w:r>
        <w:rPr>
          <w:rFonts w:hint="eastAsia"/>
          <w:color w:val="auto"/>
          <w:lang w:val="en-US" w:eastAsia="zh-CN"/>
        </w:rPr>
        <w:t>20</w:t>
      </w:r>
      <w:r>
        <w:rPr>
          <w:rFonts w:hint="eastAsia"/>
          <w:color w:val="auto"/>
        </w:rPr>
        <w:t>年</w:t>
      </w:r>
      <w:r>
        <w:rPr>
          <w:rFonts w:hint="eastAsia"/>
          <w:color w:val="auto"/>
          <w:lang w:val="en-US" w:eastAsia="zh-CN"/>
        </w:rPr>
        <w:t>6</w:t>
      </w:r>
      <w:r>
        <w:rPr>
          <w:rFonts w:hint="eastAsia"/>
          <w:color w:val="auto"/>
        </w:rPr>
        <w:t>月</w:t>
      </w:r>
      <w:r>
        <w:rPr>
          <w:rFonts w:hint="eastAsia"/>
          <w:color w:val="auto"/>
          <w:lang w:val="en-US" w:eastAsia="zh-CN"/>
        </w:rPr>
        <w:t>18</w:t>
      </w:r>
      <w:r>
        <w:rPr>
          <w:rFonts w:hint="eastAsia"/>
          <w:color w:val="auto"/>
        </w:rPr>
        <w:t>日至</w:t>
      </w:r>
      <w:r>
        <w:rPr>
          <w:rFonts w:hint="eastAsia"/>
          <w:color w:val="auto"/>
          <w:lang w:val="en-US" w:eastAsia="zh-CN"/>
        </w:rPr>
        <w:t>7</w:t>
      </w:r>
      <w:r>
        <w:rPr>
          <w:rFonts w:hint="eastAsia"/>
          <w:color w:val="auto"/>
        </w:rPr>
        <w:t>月</w:t>
      </w:r>
      <w:r>
        <w:rPr>
          <w:rFonts w:hint="eastAsia"/>
          <w:color w:val="auto"/>
          <w:lang w:val="en-US" w:eastAsia="zh-CN"/>
        </w:rPr>
        <w:t>1</w:t>
      </w:r>
      <w:r>
        <w:rPr>
          <w:rFonts w:hint="eastAsia"/>
          <w:color w:val="auto"/>
        </w:rPr>
        <w:t>日</w:t>
      </w:r>
      <w:r>
        <w:rPr>
          <w:rFonts w:hint="eastAsia"/>
        </w:rPr>
        <w:t>对项目的建设工程环境废水、废气、噪声质量现状进行了验收监测，依据验收监测结果及检查相关资料，编制了本验收监测报告。</w:t>
      </w:r>
    </w:p>
    <w:p>
      <w:pPr>
        <w:pStyle w:val="3"/>
      </w:pPr>
      <w:bookmarkStart w:id="1" w:name="_Toc16895"/>
      <w:bookmarkStart w:id="2" w:name="_Toc20914"/>
      <w:bookmarkStart w:id="3" w:name="_Toc15526"/>
      <w:bookmarkStart w:id="4" w:name="_Toc10064_WPSOffice_Level1"/>
      <w:r>
        <w:t>2</w:t>
      </w:r>
      <w:r>
        <w:rPr>
          <w:rFonts w:hint="eastAsia"/>
          <w:lang w:eastAsia="zh-CN"/>
        </w:rPr>
        <w:t>、</w:t>
      </w:r>
      <w:r>
        <w:rPr>
          <w:rFonts w:hint="eastAsia"/>
        </w:rPr>
        <w:t>验收监测依据</w:t>
      </w:r>
      <w:bookmarkEnd w:id="1"/>
      <w:bookmarkEnd w:id="2"/>
      <w:bookmarkEnd w:id="3"/>
      <w:bookmarkEnd w:id="4"/>
    </w:p>
    <w:p>
      <w:pPr>
        <w:ind w:firstLine="480"/>
      </w:pPr>
      <w:r>
        <w:rPr>
          <w:rFonts w:hint="eastAsia"/>
        </w:rPr>
        <w:t>（1）《中华人民共和国环境保护法》</w:t>
      </w:r>
      <w:r>
        <w:t>；</w:t>
      </w:r>
    </w:p>
    <w:p>
      <w:pPr>
        <w:ind w:firstLine="480"/>
      </w:pPr>
      <w:r>
        <w:rPr>
          <w:rFonts w:hint="eastAsia"/>
        </w:rPr>
        <w:t>（2）</w:t>
      </w:r>
      <w:r>
        <w:t>《建设项目环境保护管理条例》（2017年9月1日；2018年4月28日修正）</w:t>
      </w:r>
      <w:r>
        <w:rPr>
          <w:rFonts w:hint="eastAsia"/>
        </w:rPr>
        <w:t>；</w:t>
      </w:r>
    </w:p>
    <w:p>
      <w:pPr>
        <w:ind w:firstLine="480"/>
      </w:pPr>
      <w:r>
        <w:t>（</w:t>
      </w:r>
      <w:r>
        <w:rPr>
          <w:rFonts w:hint="eastAsia"/>
        </w:rPr>
        <w:t>3</w:t>
      </w:r>
      <w:r>
        <w:t>）《</w:t>
      </w:r>
      <w:r>
        <w:rPr>
          <w:rFonts w:hint="eastAsia"/>
        </w:rPr>
        <w:t>中华人民共和国环境影响评价法</w:t>
      </w:r>
      <w:r>
        <w:t>》（2018.12.29）；</w:t>
      </w:r>
    </w:p>
    <w:p>
      <w:pPr>
        <w:ind w:firstLine="480"/>
      </w:pPr>
      <w:r>
        <w:rPr>
          <w:rFonts w:hint="eastAsia"/>
        </w:rPr>
        <w:t>（4）《建设项目竣工环境保护验收暂行办法》国环规环评【</w:t>
      </w:r>
      <w:r>
        <w:t>2017</w:t>
      </w:r>
      <w:r>
        <w:rPr>
          <w:rFonts w:hint="eastAsia"/>
        </w:rPr>
        <w:t>】</w:t>
      </w:r>
      <w:r>
        <w:t>4</w:t>
      </w:r>
      <w:r>
        <w:rPr>
          <w:rFonts w:hint="eastAsia"/>
        </w:rPr>
        <w:t>号；</w:t>
      </w:r>
    </w:p>
    <w:p>
      <w:pPr>
        <w:ind w:firstLine="480"/>
        <w:rPr>
          <w:rFonts w:hint="default"/>
        </w:rPr>
      </w:pPr>
      <w:r>
        <w:rPr>
          <w:rFonts w:hint="eastAsia"/>
        </w:rPr>
        <w:t>（5）《建设项目竣工环境保护验收技术指南</w:t>
      </w:r>
      <w:r>
        <w:t xml:space="preserve"> </w:t>
      </w:r>
      <w:r>
        <w:rPr>
          <w:rFonts w:hint="eastAsia"/>
        </w:rPr>
        <w:t>污染影响类》生态环境部公告</w:t>
      </w:r>
      <w:r>
        <w:t>2018</w:t>
      </w:r>
      <w:r>
        <w:rPr>
          <w:rFonts w:hint="eastAsia"/>
        </w:rPr>
        <w:t>年第</w:t>
      </w:r>
      <w:r>
        <w:t>9</w:t>
      </w:r>
      <w:r>
        <w:rPr>
          <w:rFonts w:hint="eastAsia"/>
        </w:rPr>
        <w:t>号；</w:t>
      </w:r>
    </w:p>
    <w:p>
      <w:pPr>
        <w:ind w:left="0" w:leftChars="0" w:firstLine="480" w:firstLineChars="200"/>
        <w:rPr>
          <w:rFonts w:hint="eastAsia" w:ascii="Times New Roman" w:hAnsi="Times New Roman" w:cs="Times New Roman" w:eastAsiaTheme="minorEastAsia"/>
          <w:lang w:val="en-US" w:eastAsia="zh-CN"/>
        </w:rPr>
      </w:pPr>
      <w:r>
        <w:t>（</w:t>
      </w:r>
      <w:r>
        <w:rPr>
          <w:rFonts w:hint="eastAsia"/>
        </w:rPr>
        <w:t>6</w:t>
      </w:r>
      <w:r>
        <w:t>）</w:t>
      </w:r>
      <w:r>
        <w:rPr>
          <w:rFonts w:hint="eastAsia"/>
          <w:lang w:eastAsia="zh-CN"/>
        </w:rPr>
        <w:t>广东志华环保科技</w:t>
      </w:r>
      <w:r>
        <w:rPr>
          <w:rFonts w:hint="eastAsia"/>
        </w:rPr>
        <w:t>有限公司</w:t>
      </w:r>
      <w:r>
        <w:t>编制《</w:t>
      </w:r>
      <w:r>
        <w:rPr>
          <w:rFonts w:hint="eastAsia"/>
          <w:lang w:val="en-US" w:eastAsia="zh-CN"/>
        </w:rPr>
        <w:t>海上风电智能制造项目环境</w:t>
      </w:r>
      <w:r>
        <w:rPr>
          <w:rFonts w:hint="eastAsia"/>
        </w:rPr>
        <w:t>影响报告表</w:t>
      </w:r>
      <w:r>
        <w:t>》</w:t>
      </w:r>
      <w:r>
        <w:rPr>
          <w:rFonts w:hint="default" w:ascii="Times New Roman" w:hAnsi="Times New Roman" w:cs="Times New Roman" w:eastAsiaTheme="minorEastAsia"/>
        </w:rPr>
        <w:t>，</w:t>
      </w:r>
      <w:r>
        <w:rPr>
          <w:rFonts w:hint="eastAsia" w:ascii="Times New Roman" w:hAnsi="Times New Roman" w:cs="Times New Roman" w:eastAsiaTheme="minorEastAsia"/>
          <w:lang w:val="en-US" w:eastAsia="zh-CN"/>
        </w:rPr>
        <w:t>2018年4月；</w:t>
      </w:r>
    </w:p>
    <w:p>
      <w:pPr>
        <w:ind w:left="0" w:leftChars="0" w:firstLine="480" w:firstLineChars="200"/>
      </w:pPr>
      <w:r>
        <w:rPr>
          <w:rFonts w:hint="eastAsia"/>
        </w:rPr>
        <w:t>（7）</w:t>
      </w:r>
      <w:r>
        <w:rPr>
          <w:rFonts w:hint="eastAsia"/>
          <w:lang w:val="en-US" w:eastAsia="zh-CN"/>
        </w:rPr>
        <w:t>汕头市濠江区城市建设管理和环境保护局</w:t>
      </w:r>
      <w:r>
        <w:rPr>
          <w:rFonts w:hint="eastAsia"/>
        </w:rPr>
        <w:t>下发《</w:t>
      </w:r>
      <w:r>
        <w:rPr>
          <w:rFonts w:hint="eastAsia"/>
          <w:lang w:val="en-US" w:eastAsia="zh-CN"/>
        </w:rPr>
        <w:t>关于上海电气风电广东</w:t>
      </w:r>
      <w:r>
        <w:t>有限公司</w:t>
      </w:r>
      <w:r>
        <w:rPr>
          <w:rFonts w:hint="eastAsia"/>
          <w:lang w:val="en-US" w:eastAsia="zh-CN"/>
        </w:rPr>
        <w:t>海上风电智能制造项目环境影响报告表的批复</w:t>
      </w:r>
      <w:r>
        <w:rPr>
          <w:rFonts w:hint="eastAsia"/>
        </w:rPr>
        <w:t>》（汕</w:t>
      </w:r>
      <w:r>
        <w:rPr>
          <w:rFonts w:hint="eastAsia"/>
          <w:lang w:val="en-US" w:eastAsia="zh-CN"/>
        </w:rPr>
        <w:t>濠环</w:t>
      </w:r>
      <w:r>
        <w:rPr>
          <w:rFonts w:hint="eastAsia"/>
        </w:rPr>
        <w:t>建【20</w:t>
      </w:r>
      <w:r>
        <w:rPr>
          <w:rFonts w:hint="eastAsia"/>
          <w:lang w:val="en-US" w:eastAsia="zh-CN"/>
        </w:rPr>
        <w:t>18</w:t>
      </w:r>
      <w:r>
        <w:rPr>
          <w:rFonts w:hint="eastAsia"/>
        </w:rPr>
        <w:t>】2</w:t>
      </w:r>
      <w:r>
        <w:rPr>
          <w:rFonts w:hint="eastAsia"/>
          <w:lang w:val="en-US" w:eastAsia="zh-CN"/>
        </w:rPr>
        <w:t>5</w:t>
      </w:r>
      <w:r>
        <w:rPr>
          <w:rFonts w:hint="eastAsia"/>
        </w:rPr>
        <w:t>号），20</w:t>
      </w:r>
      <w:r>
        <w:rPr>
          <w:rFonts w:hint="eastAsia"/>
          <w:lang w:val="en-US" w:eastAsia="zh-CN"/>
        </w:rPr>
        <w:t>18</w:t>
      </w:r>
      <w:r>
        <w:rPr>
          <w:rFonts w:hint="eastAsia"/>
        </w:rPr>
        <w:t>年</w:t>
      </w:r>
      <w:r>
        <w:rPr>
          <w:rFonts w:hint="eastAsia"/>
          <w:lang w:val="en-US" w:eastAsia="zh-CN"/>
        </w:rPr>
        <w:t>7</w:t>
      </w:r>
      <w:r>
        <w:rPr>
          <w:rFonts w:hint="eastAsia"/>
        </w:rPr>
        <w:t>月</w:t>
      </w:r>
      <w:r>
        <w:rPr>
          <w:rFonts w:hint="eastAsia"/>
          <w:lang w:val="en-US" w:eastAsia="zh-CN"/>
        </w:rPr>
        <w:t>2</w:t>
      </w:r>
      <w:r>
        <w:rPr>
          <w:rFonts w:hint="eastAsia"/>
        </w:rPr>
        <w:t>日。</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sectPr>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pPr>
      <w:bookmarkStart w:id="5" w:name="_Toc311"/>
      <w:bookmarkStart w:id="6" w:name="_Toc1823"/>
      <w:bookmarkStart w:id="7" w:name="_Toc6445"/>
      <w:r>
        <w:t>3</w:t>
      </w:r>
      <w:r>
        <w:rPr>
          <w:rFonts w:hint="eastAsia"/>
          <w:lang w:eastAsia="zh-CN"/>
        </w:rPr>
        <w:t>、</w:t>
      </w:r>
      <w:r>
        <w:rPr>
          <w:rFonts w:hint="eastAsia"/>
        </w:rPr>
        <w:t>工程建设情况</w:t>
      </w:r>
      <w:bookmarkEnd w:id="5"/>
      <w:bookmarkEnd w:id="6"/>
      <w:bookmarkEnd w:id="7"/>
      <w:bookmarkStart w:id="8" w:name="_Toc18502"/>
      <w:bookmarkStart w:id="9" w:name="_Toc32076"/>
      <w:bookmarkStart w:id="10" w:name="_Toc7962"/>
      <w:bookmarkStart w:id="11" w:name="_Toc14309"/>
      <w:bookmarkStart w:id="12" w:name="_Toc24678_WPSOffice_Level1"/>
      <w:bookmarkStart w:id="13" w:name="_Toc25737"/>
      <w:bookmarkStart w:id="14" w:name="_Toc2878_WPSOffice_Level1"/>
      <w:bookmarkStart w:id="15" w:name="_Toc2006_WPSOffice_Level1"/>
      <w:bookmarkStart w:id="16" w:name="_Toc22619"/>
      <w:bookmarkStart w:id="17" w:name="_Toc20620_WPSOffice_Level1"/>
      <w:bookmarkStart w:id="18" w:name="_Toc3865_WPSOffice_Level1"/>
      <w:bookmarkStart w:id="19" w:name="_Toc28301"/>
    </w:p>
    <w:p>
      <w:pPr>
        <w:pStyle w:val="4"/>
      </w:pPr>
      <w:bookmarkStart w:id="20" w:name="_Toc7712"/>
      <w:bookmarkStart w:id="21" w:name="_Toc11994"/>
      <w:bookmarkStart w:id="22" w:name="_Toc21639"/>
      <w:bookmarkStart w:id="23" w:name="_Toc6988"/>
      <w:bookmarkStart w:id="24" w:name="_Toc24729_WPSOffice_Level1"/>
      <w:bookmarkStart w:id="25" w:name="_Toc18031_WPSOffice_Level1"/>
      <w:bookmarkStart w:id="26" w:name="_Toc24856"/>
      <w:bookmarkStart w:id="27" w:name="_Toc4189_WPSOffice_Level1"/>
      <w:bookmarkStart w:id="28" w:name="_Toc16490"/>
      <w:bookmarkStart w:id="29" w:name="_Toc31972"/>
      <w:bookmarkStart w:id="30" w:name="_Toc22032"/>
      <w:r>
        <w:t>3.1</w:t>
      </w:r>
      <w:bookmarkEnd w:id="8"/>
      <w:bookmarkEnd w:id="9"/>
      <w:bookmarkEnd w:id="10"/>
      <w:bookmarkEnd w:id="11"/>
      <w:r>
        <w:rPr>
          <w:rFonts w:hint="eastAsia"/>
        </w:rPr>
        <w:t>地理位置及平面布置</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pPr>
        <w:ind w:firstLine="480"/>
      </w:pPr>
      <w:r>
        <w:rPr>
          <w:rFonts w:hint="eastAsia"/>
          <w:lang w:eastAsia="zh-CN"/>
        </w:rPr>
        <w:t>上海电气风电广东</w:t>
      </w:r>
      <w:r>
        <w:t>有限公司</w:t>
      </w:r>
      <w:r>
        <w:rPr>
          <w:rFonts w:hint="eastAsia"/>
          <w:lang w:eastAsia="zh-CN"/>
        </w:rPr>
        <w:t>海上风电智能制造项目</w:t>
      </w:r>
      <w:r>
        <w:t>位于</w:t>
      </w:r>
      <w:r>
        <w:rPr>
          <w:rFonts w:hint="eastAsia"/>
          <w:lang w:eastAsia="zh-CN"/>
        </w:rPr>
        <w:t>汕头市濠江区广澳街道广澳物流园片区B01地块</w:t>
      </w:r>
      <w:r>
        <w:t>，</w:t>
      </w:r>
      <w:r>
        <w:rPr>
          <w:rFonts w:hint="eastAsia"/>
        </w:rPr>
        <w:t>项目地理中心坐标为：东经116°</w:t>
      </w:r>
      <w:r>
        <w:rPr>
          <w:rFonts w:hint="eastAsia"/>
          <w:lang w:val="en-US" w:eastAsia="zh-CN"/>
        </w:rPr>
        <w:t>45</w:t>
      </w:r>
      <w:r>
        <w:rPr>
          <w:rFonts w:hint="eastAsia"/>
        </w:rPr>
        <w:t>'</w:t>
      </w:r>
      <w:r>
        <w:rPr>
          <w:rFonts w:hint="eastAsia"/>
          <w:lang w:val="en-US" w:eastAsia="zh-CN"/>
        </w:rPr>
        <w:t>13.86</w:t>
      </w:r>
      <w:r>
        <w:rPr>
          <w:rFonts w:hint="eastAsia"/>
        </w:rPr>
        <w:t>"，北纬23°</w:t>
      </w:r>
      <w:r>
        <w:rPr>
          <w:rFonts w:hint="eastAsia"/>
          <w:lang w:val="en-US" w:eastAsia="zh-CN"/>
        </w:rPr>
        <w:t>15</w:t>
      </w:r>
      <w:r>
        <w:rPr>
          <w:rFonts w:hint="eastAsia"/>
        </w:rPr>
        <w:t>'</w:t>
      </w:r>
      <w:r>
        <w:rPr>
          <w:rFonts w:hint="eastAsia"/>
          <w:lang w:val="en-US" w:eastAsia="zh-CN"/>
        </w:rPr>
        <w:t>7.8</w:t>
      </w:r>
      <w:r>
        <w:rPr>
          <w:rFonts w:hint="eastAsia"/>
        </w:rPr>
        <w:t>5"。项目</w:t>
      </w:r>
      <w:r>
        <w:rPr>
          <w:rFonts w:hint="eastAsia"/>
          <w:lang w:eastAsia="zh-CN"/>
        </w:rPr>
        <w:t>建筑</w:t>
      </w:r>
      <w:r>
        <w:rPr>
          <w:rFonts w:hint="eastAsia"/>
        </w:rPr>
        <w:t>面积为</w:t>
      </w:r>
      <w:r>
        <w:rPr>
          <w:rFonts w:hint="eastAsia"/>
          <w:color w:val="auto"/>
        </w:rPr>
        <w:t>31838</w:t>
      </w:r>
      <w:r>
        <w:rPr>
          <w:rFonts w:hint="eastAsia"/>
        </w:rPr>
        <w:t>平方米，</w:t>
      </w:r>
      <w:r>
        <w:rPr>
          <w:rFonts w:hint="eastAsia"/>
          <w:lang w:val="en-US" w:eastAsia="zh-CN"/>
        </w:rPr>
        <w:t>项目主要建设内容分为主体工程和辅助工程，主体工程为占地面积25710平方米，建筑面积27295平方米的单层局部二层联合厂房</w:t>
      </w:r>
      <w:r>
        <w:rPr>
          <w:rFonts w:hint="eastAsia"/>
          <w:lang w:eastAsia="zh-CN"/>
        </w:rPr>
        <w:t>，</w:t>
      </w:r>
      <w:r>
        <w:rPr>
          <w:rFonts w:hint="eastAsia"/>
          <w:lang w:val="en-US" w:eastAsia="zh-CN"/>
        </w:rPr>
        <w:t>主要功能为</w:t>
      </w:r>
      <w:r>
        <w:rPr>
          <w:rFonts w:ascii="Times New Roman" w:hAnsi="Times New Roman" w:cs="Times New Roman"/>
          <w:color w:val="auto"/>
        </w:rPr>
        <w:t>卸货、仓储、装配、维修、动力等</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辅助区包括综合楼、化学品库、废料库、消防水泵房、原料构件堆场、清洗棚、成品堆场、停车场和门卫室等</w:t>
      </w:r>
      <w:r>
        <w:rPr>
          <w:rFonts w:hint="eastAsia"/>
        </w:rPr>
        <w:t>。</w:t>
      </w:r>
    </w:p>
    <w:p>
      <w:pPr>
        <w:ind w:firstLine="480"/>
      </w:pPr>
      <w:r>
        <w:rPr>
          <w:rFonts w:hint="eastAsia"/>
        </w:rPr>
        <w:t>地理位置见附</w:t>
      </w:r>
      <w:r>
        <w:rPr>
          <w:rFonts w:hint="eastAsia"/>
          <w:lang w:eastAsia="zh-CN"/>
        </w:rPr>
        <w:t>图</w:t>
      </w:r>
      <w:r>
        <w:rPr>
          <w:rFonts w:hint="eastAsia"/>
        </w:rPr>
        <w:t>1，</w:t>
      </w:r>
      <w:r>
        <w:rPr>
          <w:rFonts w:hint="eastAsia"/>
          <w:lang w:eastAsia="zh-CN"/>
        </w:rPr>
        <w:t>周边环境图见附图</w:t>
      </w:r>
      <w:r>
        <w:rPr>
          <w:rFonts w:hint="eastAsia"/>
          <w:lang w:val="en-US" w:eastAsia="zh-CN"/>
        </w:rPr>
        <w:t>2</w:t>
      </w:r>
      <w:r>
        <w:rPr>
          <w:rFonts w:hint="eastAsia"/>
          <w:lang w:eastAsia="zh-CN"/>
        </w:rPr>
        <w:t>，</w:t>
      </w:r>
      <w:r>
        <w:rPr>
          <w:rFonts w:hint="eastAsia"/>
        </w:rPr>
        <w:t>项目平面布置图见附</w:t>
      </w:r>
      <w:r>
        <w:rPr>
          <w:rFonts w:hint="eastAsia"/>
          <w:lang w:eastAsia="zh-CN"/>
        </w:rPr>
        <w:t>图</w:t>
      </w:r>
      <w:r>
        <w:rPr>
          <w:rFonts w:hint="eastAsia"/>
          <w:lang w:val="en-US" w:eastAsia="zh-CN"/>
        </w:rPr>
        <w:t>3</w:t>
      </w:r>
      <w:r>
        <w:rPr>
          <w:rFonts w:hint="eastAsia"/>
        </w:rPr>
        <w:t>。</w:t>
      </w:r>
    </w:p>
    <w:p>
      <w:pPr>
        <w:pStyle w:val="4"/>
      </w:pPr>
      <w:bookmarkStart w:id="31" w:name="_Toc27326"/>
      <w:bookmarkStart w:id="32" w:name="_Toc28986_WPSOffice_Level1"/>
      <w:bookmarkStart w:id="33" w:name="_Toc1012"/>
      <w:bookmarkStart w:id="34" w:name="_Toc9670"/>
      <w:bookmarkStart w:id="35" w:name="_Toc984"/>
      <w:bookmarkStart w:id="36" w:name="_Toc17172_WPSOffice_Level1"/>
      <w:bookmarkStart w:id="37" w:name="_Toc2815_WPSOffice_Level1"/>
      <w:bookmarkStart w:id="38" w:name="_Toc6080"/>
      <w:bookmarkStart w:id="39" w:name="_Toc9850"/>
      <w:bookmarkStart w:id="40" w:name="_Toc12541_WPSOffice_Level1"/>
      <w:bookmarkStart w:id="41" w:name="_Toc14644"/>
      <w:bookmarkStart w:id="42" w:name="_Toc23236_WPSOffice_Level1"/>
      <w:bookmarkStart w:id="43" w:name="_Toc16129"/>
      <w:bookmarkStart w:id="44" w:name="_Toc11028_WPSOffice_Level1"/>
      <w:bookmarkStart w:id="45" w:name="_Toc25434"/>
      <w:bookmarkStart w:id="46" w:name="_Toc7977_WPSOffice_Level1"/>
      <w:bookmarkStart w:id="47" w:name="_Toc2718"/>
      <w:bookmarkStart w:id="48" w:name="_Toc24196_WPSOffice_Level1"/>
      <w:bookmarkStart w:id="49" w:name="_Toc29213"/>
      <w:bookmarkStart w:id="50" w:name="_Toc23734"/>
      <w:bookmarkStart w:id="51" w:name="_Toc15940"/>
      <w:bookmarkStart w:id="52" w:name="_Toc4721"/>
      <w:r>
        <w:rPr>
          <w:rFonts w:hint="eastAsia"/>
        </w:rPr>
        <w:t>3.2建设内容</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pPr>
        <w:bidi w:val="0"/>
      </w:pPr>
      <w:r>
        <w:t>项目</w:t>
      </w:r>
      <w:r>
        <w:rPr>
          <w:rFonts w:hint="eastAsia"/>
          <w:color w:val="auto"/>
          <w:sz w:val="24"/>
          <w:highlight w:val="none"/>
          <w:lang w:eastAsia="zh-CN"/>
        </w:rPr>
        <w:t>主要进行风力发电机组的装配与制造，计划年</w:t>
      </w:r>
      <w:r>
        <w:rPr>
          <w:rFonts w:hint="eastAsia"/>
          <w:color w:val="auto"/>
          <w:sz w:val="24"/>
          <w:highlight w:val="none"/>
          <w:lang w:val="en-US" w:eastAsia="zh-CN"/>
        </w:rPr>
        <w:t>组装180套4~10MW系列风力发电机组，项目现状工况为年组装约70套风力发电机组；另外</w:t>
      </w:r>
      <w:r>
        <w:rPr>
          <w:rFonts w:hint="eastAsia"/>
          <w:bCs/>
          <w:color w:val="auto"/>
          <w:sz w:val="24"/>
          <w:highlight w:val="none"/>
          <w:lang w:val="en-US" w:eastAsia="zh-CN"/>
        </w:rPr>
        <w:t>对装配过程中机舱外观局部损坏进行修补，人工手工涂漆，在密闭补漆间进行</w:t>
      </w:r>
      <w:r>
        <w:rPr>
          <w:rFonts w:hint="eastAsia"/>
          <w:color w:val="auto"/>
          <w:sz w:val="24"/>
          <w:highlight w:val="none"/>
          <w:lang w:eastAsia="zh-CN"/>
        </w:rPr>
        <w:t>。</w:t>
      </w:r>
    </w:p>
    <w:p>
      <w:pPr>
        <w:bidi w:val="0"/>
      </w:pPr>
      <w:r>
        <w:rPr>
          <w:rFonts w:hint="eastAsia"/>
        </w:rPr>
        <w:t>工作制度：项目共有职工人数</w:t>
      </w:r>
      <w:r>
        <w:rPr>
          <w:rFonts w:hint="eastAsia"/>
          <w:lang w:val="en-US" w:eastAsia="zh-CN"/>
        </w:rPr>
        <w:t>260</w:t>
      </w:r>
      <w:r>
        <w:rPr>
          <w:rFonts w:hint="eastAsia"/>
        </w:rPr>
        <w:t>人，</w:t>
      </w:r>
      <w:r>
        <w:t>年工作时间约为</w:t>
      </w:r>
      <w:r>
        <w:rPr>
          <w:rFonts w:hint="eastAsia"/>
          <w:lang w:val="en-US" w:eastAsia="zh-CN"/>
        </w:rPr>
        <w:t>251</w:t>
      </w:r>
      <w:r>
        <w:t>天，实行</w:t>
      </w:r>
      <w:r>
        <w:rPr>
          <w:rFonts w:hint="eastAsia"/>
          <w:lang w:val="en-US" w:eastAsia="zh-CN"/>
        </w:rPr>
        <w:t>2</w:t>
      </w:r>
      <w:r>
        <w:t>班工作制，工作</w:t>
      </w:r>
      <w:r>
        <w:rPr>
          <w:rFonts w:hint="eastAsia"/>
          <w:lang w:val="en-US" w:eastAsia="zh-CN"/>
        </w:rPr>
        <w:t>时长为</w:t>
      </w:r>
      <w:r>
        <w:t>8小时。</w:t>
      </w:r>
    </w:p>
    <w:p>
      <w:pPr>
        <w:bidi w:val="0"/>
        <w:rPr>
          <w:rFonts w:hint="eastAsia"/>
        </w:rPr>
      </w:pPr>
      <w:r>
        <w:rPr>
          <w:rFonts w:hint="eastAsia"/>
        </w:rPr>
        <w:t>项目主要生产设备表见表3.2-1，</w:t>
      </w:r>
      <w:r>
        <w:t>项目工程</w:t>
      </w:r>
      <w:r>
        <w:rPr>
          <w:rFonts w:hint="eastAsia"/>
        </w:rPr>
        <w:t>一览</w:t>
      </w:r>
      <w:r>
        <w:t>见表</w:t>
      </w:r>
      <w:r>
        <w:rPr>
          <w:rFonts w:hint="eastAsia"/>
        </w:rPr>
        <w:t>3.2-</w:t>
      </w:r>
      <w:r>
        <w:rPr>
          <w:rFonts w:hint="eastAsia"/>
          <w:lang w:val="en-US" w:eastAsia="zh-CN"/>
        </w:rPr>
        <w:t>2</w:t>
      </w:r>
      <w:r>
        <w:rPr>
          <w:rFonts w:hint="eastAsia"/>
        </w:rPr>
        <w:t>。</w:t>
      </w:r>
    </w:p>
    <w:p>
      <w:pPr>
        <w:snapToGrid w:val="0"/>
        <w:ind w:left="0" w:leftChars="0" w:firstLine="0" w:firstLineChars="0"/>
        <w:jc w:val="center"/>
        <w:rPr>
          <w:rFonts w:ascii="Times New Roman" w:hAnsi="Times New Roman"/>
          <w:b/>
          <w:sz w:val="21"/>
          <w:szCs w:val="21"/>
        </w:rPr>
      </w:pPr>
      <w:r>
        <w:rPr>
          <w:rFonts w:hint="eastAsia" w:ascii="黑体" w:hAnsi="黑体" w:eastAsia="黑体" w:cs="黑体"/>
          <w:b w:val="0"/>
          <w:bCs/>
          <w:sz w:val="24"/>
          <w:szCs w:val="24"/>
        </w:rPr>
        <w:t>表</w:t>
      </w:r>
      <w:r>
        <w:rPr>
          <w:rFonts w:hint="eastAsia" w:ascii="黑体" w:hAnsi="黑体" w:eastAsia="黑体" w:cs="黑体"/>
          <w:b w:val="0"/>
          <w:bCs/>
          <w:sz w:val="24"/>
          <w:szCs w:val="24"/>
          <w:lang w:val="en-US" w:eastAsia="zh-CN"/>
        </w:rPr>
        <w:t>3.2-1</w:t>
      </w:r>
      <w:r>
        <w:rPr>
          <w:rFonts w:hint="eastAsia" w:ascii="黑体" w:hAnsi="黑体" w:eastAsia="黑体" w:cs="黑体"/>
          <w:b w:val="0"/>
          <w:bCs/>
          <w:sz w:val="24"/>
          <w:szCs w:val="24"/>
        </w:rPr>
        <w:t xml:space="preserve"> 主要设备数量及型号一览表</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
      <w:tblGrid>
        <w:gridCol w:w="4139"/>
        <w:gridCol w:w="870"/>
        <w:gridCol w:w="447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0" w:hRule="atLeast"/>
          <w:tblHeader/>
          <w:jc w:val="center"/>
        </w:trPr>
        <w:tc>
          <w:tcPr>
            <w:tcW w:w="4139" w:type="dxa"/>
            <w:tcBorders>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设备名称</w:t>
            </w:r>
          </w:p>
        </w:tc>
        <w:tc>
          <w:tcPr>
            <w:tcW w:w="870" w:type="dxa"/>
            <w:tcBorders>
              <w:left w:val="single" w:color="auto" w:sz="4" w:space="0"/>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数量</w:t>
            </w:r>
          </w:p>
        </w:tc>
        <w:tc>
          <w:tcPr>
            <w:tcW w:w="4478" w:type="dxa"/>
            <w:tcBorders>
              <w:lef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0" w:hRule="atLeast"/>
          <w:jc w:val="center"/>
        </w:trPr>
        <w:tc>
          <w:tcPr>
            <w:tcW w:w="4139" w:type="dxa"/>
            <w:tcBorders>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轮毂装配区设备（工装与测试）</w:t>
            </w:r>
          </w:p>
        </w:tc>
        <w:tc>
          <w:tcPr>
            <w:tcW w:w="870" w:type="dxa"/>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组</w:t>
            </w:r>
          </w:p>
        </w:tc>
        <w:tc>
          <w:tcPr>
            <w:tcW w:w="4478" w:type="dxa"/>
            <w:tcBorders>
              <w:lef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轮毂装配区，包括测试设备、工装设备等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0" w:hRule="atLeast"/>
          <w:jc w:val="center"/>
        </w:trPr>
        <w:tc>
          <w:tcPr>
            <w:tcW w:w="4139" w:type="dxa"/>
            <w:tcBorders>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机舱装配区设备（工装与测试）</w:t>
            </w:r>
          </w:p>
        </w:tc>
        <w:tc>
          <w:tcPr>
            <w:tcW w:w="870" w:type="dxa"/>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组</w:t>
            </w:r>
          </w:p>
        </w:tc>
        <w:tc>
          <w:tcPr>
            <w:tcW w:w="4478" w:type="dxa"/>
            <w:tcBorders>
              <w:lef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机舱装配区，包括测试设备、工装设备等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0" w:hRule="atLeast"/>
          <w:jc w:val="center"/>
        </w:trPr>
        <w:tc>
          <w:tcPr>
            <w:tcW w:w="4139" w:type="dxa"/>
            <w:tcBorders>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总装检测设备</w:t>
            </w:r>
          </w:p>
        </w:tc>
        <w:tc>
          <w:tcPr>
            <w:tcW w:w="870" w:type="dxa"/>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组</w:t>
            </w:r>
          </w:p>
        </w:tc>
        <w:tc>
          <w:tcPr>
            <w:tcW w:w="4478" w:type="dxa"/>
            <w:tcBorders>
              <w:lef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总装区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0" w:hRule="atLeast"/>
          <w:jc w:val="center"/>
        </w:trPr>
        <w:tc>
          <w:tcPr>
            <w:tcW w:w="4139" w:type="dxa"/>
            <w:tcBorders>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液压设备</w:t>
            </w:r>
          </w:p>
        </w:tc>
        <w:tc>
          <w:tcPr>
            <w:tcW w:w="870" w:type="dxa"/>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组</w:t>
            </w:r>
          </w:p>
        </w:tc>
        <w:tc>
          <w:tcPr>
            <w:tcW w:w="4478" w:type="dxa"/>
            <w:tcBorders>
              <w:lef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液压间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0" w:hRule="atLeast"/>
          <w:jc w:val="center"/>
        </w:trPr>
        <w:tc>
          <w:tcPr>
            <w:tcW w:w="4139" w:type="dxa"/>
            <w:tcBorders>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质检设备</w:t>
            </w:r>
          </w:p>
        </w:tc>
        <w:tc>
          <w:tcPr>
            <w:tcW w:w="870" w:type="dxa"/>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组</w:t>
            </w:r>
          </w:p>
        </w:tc>
        <w:tc>
          <w:tcPr>
            <w:tcW w:w="4478" w:type="dxa"/>
            <w:tcBorders>
              <w:lef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质量检验室</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0" w:hRule="atLeast"/>
          <w:jc w:val="center"/>
        </w:trPr>
        <w:tc>
          <w:tcPr>
            <w:tcW w:w="4139" w:type="dxa"/>
            <w:tcBorders>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仓库运输、升降设备</w:t>
            </w:r>
          </w:p>
        </w:tc>
        <w:tc>
          <w:tcPr>
            <w:tcW w:w="870" w:type="dxa"/>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组</w:t>
            </w:r>
          </w:p>
        </w:tc>
        <w:tc>
          <w:tcPr>
            <w:tcW w:w="4478" w:type="dxa"/>
            <w:tcBorders>
              <w:lef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仓库</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0" w:hRule="atLeast"/>
          <w:jc w:val="center"/>
        </w:trPr>
        <w:tc>
          <w:tcPr>
            <w:tcW w:w="4139" w:type="dxa"/>
            <w:tcBorders>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柴油平板车450T</w:t>
            </w:r>
          </w:p>
        </w:tc>
        <w:tc>
          <w:tcPr>
            <w:tcW w:w="870" w:type="dxa"/>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2台</w:t>
            </w:r>
          </w:p>
        </w:tc>
        <w:tc>
          <w:tcPr>
            <w:tcW w:w="4478" w:type="dxa"/>
            <w:tcBorders>
              <w:lef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总装区1台、露天构件堆场1台</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0" w:hRule="atLeast"/>
          <w:jc w:val="center"/>
        </w:trPr>
        <w:tc>
          <w:tcPr>
            <w:tcW w:w="4139" w:type="dxa"/>
            <w:tcBorders>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双梁桥式起重机</w:t>
            </w:r>
          </w:p>
        </w:tc>
        <w:tc>
          <w:tcPr>
            <w:tcW w:w="870" w:type="dxa"/>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10台</w:t>
            </w:r>
          </w:p>
        </w:tc>
        <w:tc>
          <w:tcPr>
            <w:tcW w:w="4478" w:type="dxa"/>
            <w:tcBorders>
              <w:lef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轮毂装配区5台、机舱装配区5台</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0" w:hRule="atLeast"/>
          <w:jc w:val="center"/>
        </w:trPr>
        <w:tc>
          <w:tcPr>
            <w:tcW w:w="4139" w:type="dxa"/>
            <w:tcBorders>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悬臂起重机</w:t>
            </w:r>
          </w:p>
        </w:tc>
        <w:tc>
          <w:tcPr>
            <w:tcW w:w="870" w:type="dxa"/>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7台</w:t>
            </w:r>
          </w:p>
        </w:tc>
        <w:tc>
          <w:tcPr>
            <w:tcW w:w="4478" w:type="dxa"/>
            <w:tcBorders>
              <w:lef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轮毂装配区3台、机舱装配区4台</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0" w:hRule="atLeast"/>
          <w:jc w:val="center"/>
        </w:trPr>
        <w:tc>
          <w:tcPr>
            <w:tcW w:w="4139" w:type="dxa"/>
            <w:tcBorders>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双梁龙门式起重机</w:t>
            </w:r>
          </w:p>
        </w:tc>
        <w:tc>
          <w:tcPr>
            <w:tcW w:w="870" w:type="dxa"/>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1台</w:t>
            </w:r>
          </w:p>
        </w:tc>
        <w:tc>
          <w:tcPr>
            <w:tcW w:w="4478" w:type="dxa"/>
            <w:tcBorders>
              <w:lef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baseline"/>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露天构件堆场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0" w:hRule="atLeast"/>
          <w:jc w:val="center"/>
        </w:trPr>
        <w:tc>
          <w:tcPr>
            <w:tcW w:w="9487" w:type="dxa"/>
            <w:gridSpan w:val="3"/>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both"/>
              <w:textAlignment w:val="baseline"/>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项目现状主要设备数量与原环评基本一致。</w:t>
            </w:r>
          </w:p>
        </w:tc>
      </w:tr>
    </w:tbl>
    <w:p>
      <w:pPr>
        <w:pStyle w:val="2"/>
        <w:jc w:val="center"/>
      </w:pPr>
    </w:p>
    <w:p>
      <w:pPr>
        <w:pStyle w:val="16"/>
        <w:spacing w:line="360" w:lineRule="auto"/>
        <w:jc w:val="center"/>
        <w:rPr>
          <w:rFonts w:hint="eastAsia"/>
          <w:sz w:val="24"/>
          <w:szCs w:val="24"/>
        </w:rPr>
      </w:pPr>
      <w:r>
        <w:rPr>
          <w:rFonts w:hint="eastAsia" w:ascii="黑体" w:hAnsi="黑体" w:eastAsia="黑体" w:cs="黑体"/>
          <w:b w:val="0"/>
          <w:bCs/>
          <w:sz w:val="24"/>
          <w:szCs w:val="24"/>
        </w:rPr>
        <w:t>表3.2-</w:t>
      </w:r>
      <w:r>
        <w:rPr>
          <w:rFonts w:hint="eastAsia" w:ascii="黑体" w:hAnsi="黑体" w:eastAsia="黑体" w:cs="黑体"/>
          <w:b w:val="0"/>
          <w:bCs/>
          <w:sz w:val="24"/>
          <w:szCs w:val="24"/>
          <w:lang w:val="en-US" w:eastAsia="zh-CN"/>
        </w:rPr>
        <w:t>2</w:t>
      </w:r>
      <w:r>
        <w:rPr>
          <w:rFonts w:hint="eastAsia" w:ascii="黑体" w:hAnsi="黑体" w:eastAsia="黑体" w:cs="黑体"/>
          <w:b w:val="0"/>
          <w:bCs/>
          <w:sz w:val="24"/>
          <w:szCs w:val="24"/>
        </w:rPr>
        <w:t xml:space="preserve"> 项目工程一览表</w:t>
      </w:r>
    </w:p>
    <w:tbl>
      <w:tblPr>
        <w:tblStyle w:val="12"/>
        <w:tblW w:w="859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
      <w:tblGrid>
        <w:gridCol w:w="1087"/>
        <w:gridCol w:w="1063"/>
        <w:gridCol w:w="644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13" w:hRule="atLeast"/>
          <w:tblHeader/>
          <w:jc w:val="center"/>
        </w:trPr>
        <w:tc>
          <w:tcPr>
            <w:tcW w:w="1087" w:type="dxa"/>
            <w:vAlign w:val="center"/>
          </w:tcPr>
          <w:p>
            <w:pPr>
              <w:bidi w:val="0"/>
              <w:spacing w:line="240" w:lineRule="auto"/>
              <w:ind w:left="0" w:leftChars="0" w:firstLine="0" w:firstLineChars="0"/>
              <w:jc w:val="center"/>
              <w:rPr>
                <w:sz w:val="21"/>
                <w:szCs w:val="21"/>
              </w:rPr>
            </w:pPr>
            <w:r>
              <w:rPr>
                <w:sz w:val="21"/>
                <w:szCs w:val="21"/>
              </w:rPr>
              <w:t>工程类别</w:t>
            </w:r>
          </w:p>
        </w:tc>
        <w:tc>
          <w:tcPr>
            <w:tcW w:w="1063" w:type="dxa"/>
            <w:tcBorders>
              <w:right w:val="single" w:color="auto" w:sz="4" w:space="0"/>
            </w:tcBorders>
            <w:vAlign w:val="center"/>
          </w:tcPr>
          <w:p>
            <w:pPr>
              <w:bidi w:val="0"/>
              <w:spacing w:line="240" w:lineRule="auto"/>
              <w:ind w:left="0" w:leftChars="0" w:firstLine="0" w:firstLineChars="0"/>
              <w:jc w:val="center"/>
              <w:rPr>
                <w:sz w:val="21"/>
                <w:szCs w:val="21"/>
              </w:rPr>
            </w:pPr>
            <w:r>
              <w:rPr>
                <w:sz w:val="21"/>
                <w:szCs w:val="21"/>
              </w:rPr>
              <w:t>主要内容</w:t>
            </w:r>
          </w:p>
        </w:tc>
        <w:tc>
          <w:tcPr>
            <w:tcW w:w="6440" w:type="dxa"/>
            <w:vAlign w:val="center"/>
          </w:tcPr>
          <w:p>
            <w:pPr>
              <w:bidi w:val="0"/>
              <w:spacing w:line="240" w:lineRule="auto"/>
              <w:ind w:left="0" w:leftChars="0" w:firstLine="0" w:firstLineChars="0"/>
              <w:jc w:val="center"/>
              <w:rPr>
                <w:sz w:val="21"/>
                <w:szCs w:val="21"/>
              </w:rPr>
            </w:pPr>
            <w:r>
              <w:rPr>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jc w:val="center"/>
        </w:trPr>
        <w:tc>
          <w:tcPr>
            <w:tcW w:w="1087" w:type="dxa"/>
            <w:vAlign w:val="center"/>
          </w:tcPr>
          <w:p>
            <w:pPr>
              <w:bidi w:val="0"/>
              <w:spacing w:line="240" w:lineRule="auto"/>
              <w:ind w:left="0" w:leftChars="0" w:firstLine="0" w:firstLineChars="0"/>
              <w:rPr>
                <w:sz w:val="21"/>
                <w:szCs w:val="21"/>
              </w:rPr>
            </w:pPr>
            <w:r>
              <w:rPr>
                <w:sz w:val="21"/>
                <w:szCs w:val="21"/>
              </w:rPr>
              <w:t>主体工程</w:t>
            </w:r>
          </w:p>
        </w:tc>
        <w:tc>
          <w:tcPr>
            <w:tcW w:w="1063" w:type="dxa"/>
            <w:tcBorders>
              <w:right w:val="single" w:color="auto" w:sz="4" w:space="0"/>
            </w:tcBorders>
            <w:vAlign w:val="center"/>
          </w:tcPr>
          <w:p>
            <w:pPr>
              <w:bidi w:val="0"/>
              <w:spacing w:line="240" w:lineRule="auto"/>
              <w:ind w:left="0" w:leftChars="0" w:firstLine="0" w:firstLineChars="0"/>
              <w:jc w:val="center"/>
              <w:rPr>
                <w:sz w:val="21"/>
                <w:szCs w:val="21"/>
              </w:rPr>
            </w:pPr>
            <w:r>
              <w:rPr>
                <w:sz w:val="21"/>
                <w:szCs w:val="21"/>
              </w:rPr>
              <w:t>联合厂房</w:t>
            </w:r>
          </w:p>
        </w:tc>
        <w:tc>
          <w:tcPr>
            <w:tcW w:w="6440" w:type="dxa"/>
            <w:vAlign w:val="center"/>
          </w:tcPr>
          <w:p>
            <w:pPr>
              <w:bidi w:val="0"/>
              <w:spacing w:line="240" w:lineRule="auto"/>
              <w:ind w:left="0" w:leftChars="0" w:firstLine="0" w:firstLineChars="0"/>
              <w:rPr>
                <w:sz w:val="21"/>
                <w:szCs w:val="21"/>
              </w:rPr>
            </w:pPr>
            <w:r>
              <w:rPr>
                <w:sz w:val="21"/>
                <w:szCs w:val="21"/>
              </w:rPr>
              <w:t>位于厂区中部，沿东西向布置，长228m、宽112m，占地约25710㎡，建筑面积约27295㎡，为单层局部二层建筑，屋面铺设光伏板。主要功能包括卸货、仓储、装配、维修、动力等。</w:t>
            </w:r>
          </w:p>
          <w:p>
            <w:pPr>
              <w:bidi w:val="0"/>
              <w:spacing w:line="240" w:lineRule="auto"/>
              <w:ind w:left="0" w:leftChars="0" w:firstLine="0" w:firstLineChars="0"/>
              <w:rPr>
                <w:sz w:val="21"/>
                <w:szCs w:val="21"/>
              </w:rPr>
            </w:pPr>
            <w:r>
              <w:rPr>
                <w:rFonts w:hint="eastAsia"/>
                <w:sz w:val="21"/>
                <w:szCs w:val="21"/>
              </w:rPr>
              <w:t>1）13米跨卸货Dock区及铲车充电区为单层门式刚架。卸货区南北轴线长</w:t>
            </w:r>
            <w:r>
              <w:rPr>
                <w:sz w:val="21"/>
                <w:szCs w:val="21"/>
              </w:rPr>
              <w:t>36</w:t>
            </w:r>
            <w:r>
              <w:rPr>
                <w:rFonts w:hint="eastAsia"/>
                <w:sz w:val="21"/>
                <w:szCs w:val="21"/>
              </w:rPr>
              <w:t>米，柱距12米。东西方向单跨，净高8米。</w:t>
            </w:r>
          </w:p>
          <w:p>
            <w:pPr>
              <w:bidi w:val="0"/>
              <w:spacing w:line="240" w:lineRule="auto"/>
              <w:ind w:left="0" w:leftChars="0" w:firstLine="0" w:firstLineChars="0"/>
              <w:rPr>
                <w:sz w:val="21"/>
                <w:szCs w:val="21"/>
              </w:rPr>
            </w:pPr>
            <w:r>
              <w:rPr>
                <w:rFonts w:hint="eastAsia"/>
                <w:sz w:val="21"/>
                <w:szCs w:val="21"/>
              </w:rPr>
              <w:t>2）仓库为单层钢架结构。东西轴线长</w:t>
            </w:r>
            <w:r>
              <w:rPr>
                <w:sz w:val="21"/>
                <w:szCs w:val="21"/>
              </w:rPr>
              <w:t>35</w:t>
            </w:r>
            <w:r>
              <w:rPr>
                <w:rFonts w:hint="eastAsia"/>
                <w:sz w:val="21"/>
                <w:szCs w:val="21"/>
              </w:rPr>
              <w:t>米，南北</w:t>
            </w:r>
            <w:r>
              <w:rPr>
                <w:sz w:val="21"/>
                <w:szCs w:val="21"/>
              </w:rPr>
              <w:t>轴线长</w:t>
            </w:r>
            <w:r>
              <w:rPr>
                <w:rFonts w:hint="eastAsia"/>
                <w:sz w:val="21"/>
                <w:szCs w:val="21"/>
              </w:rPr>
              <w:t>11</w:t>
            </w:r>
            <w:r>
              <w:rPr>
                <w:sz w:val="21"/>
                <w:szCs w:val="21"/>
              </w:rPr>
              <w:t>1</w:t>
            </w:r>
            <w:r>
              <w:rPr>
                <w:rFonts w:hint="eastAsia"/>
                <w:sz w:val="21"/>
                <w:szCs w:val="21"/>
              </w:rPr>
              <w:t>米，柱距12米，梁底标高1</w:t>
            </w:r>
            <w:r>
              <w:rPr>
                <w:sz w:val="21"/>
                <w:szCs w:val="21"/>
              </w:rPr>
              <w:t>0.5</w:t>
            </w:r>
            <w:r>
              <w:rPr>
                <w:rFonts w:hint="eastAsia"/>
                <w:sz w:val="21"/>
                <w:szCs w:val="21"/>
              </w:rPr>
              <w:t>米。</w:t>
            </w:r>
          </w:p>
          <w:p>
            <w:pPr>
              <w:bidi w:val="0"/>
              <w:spacing w:line="240" w:lineRule="auto"/>
              <w:ind w:left="0" w:leftChars="0" w:firstLine="0" w:firstLineChars="0"/>
              <w:rPr>
                <w:sz w:val="21"/>
                <w:szCs w:val="21"/>
              </w:rPr>
            </w:pPr>
            <w:r>
              <w:rPr>
                <w:rFonts w:hint="eastAsia"/>
                <w:sz w:val="21"/>
                <w:szCs w:val="21"/>
              </w:rPr>
              <w:t>3）高架仓库单层钢结构。东西轴线长</w:t>
            </w:r>
            <w:r>
              <w:rPr>
                <w:sz w:val="21"/>
                <w:szCs w:val="21"/>
              </w:rPr>
              <w:t>72</w:t>
            </w:r>
            <w:r>
              <w:rPr>
                <w:rFonts w:hint="eastAsia"/>
                <w:sz w:val="21"/>
                <w:szCs w:val="21"/>
              </w:rPr>
              <w:t>米，南北</w:t>
            </w:r>
            <w:r>
              <w:rPr>
                <w:sz w:val="21"/>
                <w:szCs w:val="21"/>
              </w:rPr>
              <w:t>轴线长37</w:t>
            </w:r>
            <w:r>
              <w:rPr>
                <w:rFonts w:hint="eastAsia"/>
                <w:sz w:val="21"/>
                <w:szCs w:val="21"/>
              </w:rPr>
              <w:t>米，柱距12米，梁底标高</w:t>
            </w:r>
            <w:r>
              <w:rPr>
                <w:sz w:val="21"/>
                <w:szCs w:val="21"/>
              </w:rPr>
              <w:t>12.5</w:t>
            </w:r>
            <w:r>
              <w:rPr>
                <w:rFonts w:hint="eastAsia"/>
                <w:sz w:val="21"/>
                <w:szCs w:val="21"/>
              </w:rPr>
              <w:t>米。</w:t>
            </w:r>
          </w:p>
          <w:p>
            <w:pPr>
              <w:bidi w:val="0"/>
              <w:spacing w:line="240" w:lineRule="auto"/>
              <w:ind w:left="0" w:leftChars="0" w:firstLine="0" w:firstLineChars="0"/>
              <w:rPr>
                <w:sz w:val="21"/>
                <w:szCs w:val="21"/>
              </w:rPr>
            </w:pPr>
            <w:r>
              <w:rPr>
                <w:sz w:val="21"/>
                <w:szCs w:val="21"/>
              </w:rPr>
              <w:t>4</w:t>
            </w:r>
            <w:r>
              <w:rPr>
                <w:rFonts w:hint="eastAsia"/>
                <w:sz w:val="21"/>
                <w:szCs w:val="21"/>
              </w:rPr>
              <w:t>）装配车间为单层重型钢结构东西轴线长</w:t>
            </w:r>
            <w:r>
              <w:rPr>
                <w:sz w:val="21"/>
                <w:szCs w:val="21"/>
              </w:rPr>
              <w:t>166</w:t>
            </w:r>
            <w:r>
              <w:rPr>
                <w:rFonts w:hint="eastAsia"/>
                <w:sz w:val="21"/>
                <w:szCs w:val="21"/>
              </w:rPr>
              <w:t>米，柱距主要为12米；南北</w:t>
            </w:r>
            <w:r>
              <w:rPr>
                <w:sz w:val="21"/>
                <w:szCs w:val="21"/>
              </w:rPr>
              <w:t>轴线长</w:t>
            </w:r>
            <w:r>
              <w:rPr>
                <w:rFonts w:hint="eastAsia"/>
                <w:sz w:val="21"/>
                <w:szCs w:val="21"/>
              </w:rPr>
              <w:t>72米</w:t>
            </w:r>
            <w:r>
              <w:rPr>
                <w:sz w:val="21"/>
                <w:szCs w:val="21"/>
              </w:rPr>
              <w:t>，</w:t>
            </w:r>
            <w:r>
              <w:rPr>
                <w:rFonts w:hint="eastAsia"/>
                <w:sz w:val="21"/>
                <w:szCs w:val="21"/>
              </w:rPr>
              <w:t>梁底标高27</w:t>
            </w:r>
            <w:r>
              <w:rPr>
                <w:sz w:val="21"/>
                <w:szCs w:val="21"/>
              </w:rPr>
              <w:t>.8</w:t>
            </w:r>
            <w:r>
              <w:rPr>
                <w:rFonts w:hint="eastAsia"/>
                <w:sz w:val="21"/>
                <w:szCs w:val="21"/>
              </w:rPr>
              <w:t>米</w:t>
            </w:r>
            <w:r>
              <w:rPr>
                <w:sz w:val="21"/>
                <w:szCs w:val="21"/>
              </w:rPr>
              <w:t>。</w:t>
            </w:r>
          </w:p>
          <w:p>
            <w:pPr>
              <w:bidi w:val="0"/>
              <w:spacing w:line="240" w:lineRule="auto"/>
              <w:ind w:left="0" w:leftChars="0" w:firstLine="0" w:firstLineChars="0"/>
              <w:rPr>
                <w:sz w:val="21"/>
                <w:szCs w:val="21"/>
              </w:rPr>
            </w:pPr>
            <w:r>
              <w:rPr>
                <w:sz w:val="21"/>
                <w:szCs w:val="21"/>
              </w:rPr>
              <w:t>5</w:t>
            </w:r>
            <w:r>
              <w:rPr>
                <w:rFonts w:hint="eastAsia"/>
                <w:sz w:val="21"/>
                <w:szCs w:val="21"/>
              </w:rPr>
              <w:t>）补漆间位于联合厂房的东南角，为单层门式刚架结构。南北单跨，轴线长39米。东西方向轴线长</w:t>
            </w:r>
            <w:r>
              <w:rPr>
                <w:sz w:val="21"/>
                <w:szCs w:val="21"/>
              </w:rPr>
              <w:t>36</w:t>
            </w:r>
            <w:r>
              <w:rPr>
                <w:rFonts w:hint="eastAsia"/>
                <w:sz w:val="21"/>
                <w:szCs w:val="21"/>
              </w:rPr>
              <w:t>米，</w:t>
            </w:r>
            <w:r>
              <w:rPr>
                <w:sz w:val="21"/>
                <w:szCs w:val="21"/>
              </w:rPr>
              <w:t>柱距</w:t>
            </w:r>
            <w:r>
              <w:rPr>
                <w:rFonts w:hint="eastAsia"/>
                <w:sz w:val="21"/>
                <w:szCs w:val="21"/>
              </w:rPr>
              <w:t>12</w:t>
            </w:r>
            <w:r>
              <w:rPr>
                <w:sz w:val="21"/>
                <w:szCs w:val="21"/>
              </w:rPr>
              <w:t>m</w:t>
            </w:r>
            <w:r>
              <w:rPr>
                <w:rFonts w:hint="eastAsia"/>
                <w:sz w:val="21"/>
                <w:szCs w:val="21"/>
              </w:rPr>
              <w:t>。梁底标高19.3米。</w:t>
            </w:r>
          </w:p>
          <w:p>
            <w:pPr>
              <w:bidi w:val="0"/>
              <w:spacing w:line="240" w:lineRule="auto"/>
              <w:ind w:left="0" w:leftChars="0" w:firstLine="0" w:firstLineChars="0"/>
              <w:rPr>
                <w:sz w:val="21"/>
                <w:szCs w:val="21"/>
              </w:rPr>
            </w:pPr>
            <w:r>
              <w:rPr>
                <w:sz w:val="21"/>
                <w:szCs w:val="21"/>
              </w:rPr>
              <w:t>6</w:t>
            </w:r>
            <w:r>
              <w:rPr>
                <w:rFonts w:hint="eastAsia"/>
                <w:sz w:val="21"/>
                <w:szCs w:val="21"/>
              </w:rPr>
              <w:t>）生产辅房贴邻钢结构厂房而建，位于装配车间的东面，为两层钢筋砼框架结构。南北轴线长约</w:t>
            </w:r>
            <w:r>
              <w:rPr>
                <w:sz w:val="21"/>
                <w:szCs w:val="21"/>
              </w:rPr>
              <w:t>111米</w:t>
            </w:r>
            <w:r>
              <w:rPr>
                <w:rFonts w:hint="eastAsia"/>
                <w:sz w:val="21"/>
                <w:szCs w:val="21"/>
              </w:rPr>
              <w:t>，东西方向</w:t>
            </w:r>
            <w:r>
              <w:rPr>
                <w:sz w:val="21"/>
                <w:szCs w:val="21"/>
              </w:rPr>
              <w:t>12</w:t>
            </w:r>
            <w:r>
              <w:rPr>
                <w:rFonts w:hint="eastAsia"/>
                <w:sz w:val="21"/>
                <w:szCs w:val="21"/>
              </w:rPr>
              <w:t>米，底层净高6米；二层净高</w:t>
            </w:r>
            <w:r>
              <w:rPr>
                <w:sz w:val="21"/>
                <w:szCs w:val="21"/>
              </w:rPr>
              <w:t>6</w:t>
            </w:r>
            <w:r>
              <w:rPr>
                <w:rFonts w:hint="eastAsia"/>
                <w:sz w:val="21"/>
                <w:szCs w:val="21"/>
              </w:rPr>
              <w:t>米。</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jc w:val="center"/>
        </w:trPr>
        <w:tc>
          <w:tcPr>
            <w:tcW w:w="1087" w:type="dxa"/>
            <w:vMerge w:val="restart"/>
            <w:tcBorders>
              <w:right w:val="single" w:color="auto" w:sz="4" w:space="0"/>
            </w:tcBorders>
            <w:vAlign w:val="center"/>
          </w:tcPr>
          <w:p>
            <w:pPr>
              <w:bidi w:val="0"/>
              <w:spacing w:line="240" w:lineRule="auto"/>
              <w:ind w:left="0" w:leftChars="0" w:firstLine="0" w:firstLineChars="0"/>
              <w:rPr>
                <w:sz w:val="21"/>
                <w:szCs w:val="21"/>
              </w:rPr>
            </w:pPr>
            <w:r>
              <w:rPr>
                <w:sz w:val="21"/>
                <w:szCs w:val="21"/>
              </w:rPr>
              <w:t>辅助工程</w:t>
            </w:r>
          </w:p>
        </w:tc>
        <w:tc>
          <w:tcPr>
            <w:tcW w:w="1063" w:type="dxa"/>
            <w:tcBorders>
              <w:left w:val="single" w:color="auto" w:sz="4" w:space="0"/>
              <w:bottom w:val="single" w:color="auto" w:sz="4" w:space="0"/>
              <w:right w:val="single" w:color="auto" w:sz="4" w:space="0"/>
            </w:tcBorders>
            <w:vAlign w:val="center"/>
          </w:tcPr>
          <w:p>
            <w:pPr>
              <w:bidi w:val="0"/>
              <w:spacing w:line="240" w:lineRule="auto"/>
              <w:ind w:left="0" w:leftChars="0" w:firstLine="0" w:firstLineChars="0"/>
              <w:jc w:val="center"/>
              <w:rPr>
                <w:sz w:val="21"/>
                <w:szCs w:val="21"/>
              </w:rPr>
            </w:pPr>
            <w:r>
              <w:rPr>
                <w:sz w:val="21"/>
                <w:szCs w:val="21"/>
              </w:rPr>
              <w:t>综合楼</w:t>
            </w:r>
          </w:p>
        </w:tc>
        <w:tc>
          <w:tcPr>
            <w:tcW w:w="6440" w:type="dxa"/>
            <w:vAlign w:val="center"/>
          </w:tcPr>
          <w:p>
            <w:pPr>
              <w:bidi w:val="0"/>
              <w:spacing w:line="240" w:lineRule="auto"/>
              <w:ind w:left="0" w:leftChars="0" w:firstLine="0" w:firstLineChars="0"/>
              <w:rPr>
                <w:sz w:val="21"/>
                <w:szCs w:val="21"/>
              </w:rPr>
            </w:pPr>
            <w:r>
              <w:rPr>
                <w:sz w:val="21"/>
                <w:szCs w:val="21"/>
              </w:rPr>
              <w:t>位于厂区东南部，为二层钢筋砼框架结构，东西长66m，南北进深31m，一层层高为4.8m，二层层高为5m，占地约1680㎡，建筑面积约3410㎡，布置大厅、接待室、展览及活动室、厨房及餐厅、各部门办公及会议室等。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jc w:val="center"/>
        </w:trPr>
        <w:tc>
          <w:tcPr>
            <w:tcW w:w="1087" w:type="dxa"/>
            <w:vMerge w:val="continue"/>
            <w:tcBorders>
              <w:right w:val="single" w:color="auto" w:sz="4" w:space="0"/>
            </w:tcBorders>
            <w:vAlign w:val="center"/>
          </w:tcPr>
          <w:p>
            <w:pPr>
              <w:bidi w:val="0"/>
              <w:spacing w:line="240" w:lineRule="auto"/>
              <w:ind w:left="0" w:leftChars="0" w:firstLine="0" w:firstLineChars="0"/>
              <w:rPr>
                <w:sz w:val="21"/>
                <w:szCs w:val="21"/>
              </w:rPr>
            </w:pPr>
          </w:p>
        </w:tc>
        <w:tc>
          <w:tcPr>
            <w:tcW w:w="1063" w:type="dxa"/>
            <w:tcBorders>
              <w:left w:val="single" w:color="auto" w:sz="4" w:space="0"/>
              <w:bottom w:val="single" w:color="auto" w:sz="4" w:space="0"/>
              <w:right w:val="single" w:color="auto" w:sz="4" w:space="0"/>
            </w:tcBorders>
            <w:vAlign w:val="center"/>
          </w:tcPr>
          <w:p>
            <w:pPr>
              <w:bidi w:val="0"/>
              <w:spacing w:line="240" w:lineRule="auto"/>
              <w:ind w:left="0" w:leftChars="0" w:firstLine="0" w:firstLineChars="0"/>
              <w:jc w:val="center"/>
              <w:rPr>
                <w:sz w:val="21"/>
                <w:szCs w:val="21"/>
              </w:rPr>
            </w:pPr>
            <w:r>
              <w:rPr>
                <w:sz w:val="21"/>
                <w:szCs w:val="21"/>
              </w:rPr>
              <w:t>化学品库</w:t>
            </w:r>
          </w:p>
        </w:tc>
        <w:tc>
          <w:tcPr>
            <w:tcW w:w="6440" w:type="dxa"/>
            <w:vAlign w:val="center"/>
          </w:tcPr>
          <w:p>
            <w:pPr>
              <w:bidi w:val="0"/>
              <w:spacing w:line="240" w:lineRule="auto"/>
              <w:ind w:left="0" w:leftChars="0" w:firstLine="0" w:firstLineChars="0"/>
              <w:rPr>
                <w:sz w:val="21"/>
                <w:szCs w:val="21"/>
              </w:rPr>
            </w:pPr>
            <w:r>
              <w:rPr>
                <w:sz w:val="21"/>
                <w:szCs w:val="21"/>
              </w:rPr>
              <w:t>位于厂区西北部，为单层框架结构。平面轴线尺寸32m×12m，建筑面积约422㎡。主要储存物品包括环氧面漆、油漆固化剂、富锌底漆等，总储存量不超过10t。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jc w:val="center"/>
        </w:trPr>
        <w:tc>
          <w:tcPr>
            <w:tcW w:w="1087" w:type="dxa"/>
            <w:vMerge w:val="continue"/>
            <w:tcBorders>
              <w:right w:val="single" w:color="auto" w:sz="4" w:space="0"/>
            </w:tcBorders>
            <w:vAlign w:val="center"/>
          </w:tcPr>
          <w:p>
            <w:pPr>
              <w:bidi w:val="0"/>
              <w:spacing w:line="240" w:lineRule="auto"/>
              <w:ind w:left="0" w:leftChars="0" w:firstLine="0" w:firstLineChars="0"/>
              <w:rPr>
                <w:sz w:val="21"/>
                <w:szCs w:val="21"/>
              </w:rPr>
            </w:pPr>
          </w:p>
        </w:tc>
        <w:tc>
          <w:tcPr>
            <w:tcW w:w="1063" w:type="dxa"/>
            <w:tcBorders>
              <w:left w:val="single" w:color="auto" w:sz="4" w:space="0"/>
              <w:bottom w:val="single" w:color="auto" w:sz="4" w:space="0"/>
              <w:right w:val="single" w:color="auto" w:sz="4" w:space="0"/>
            </w:tcBorders>
            <w:vAlign w:val="center"/>
          </w:tcPr>
          <w:p>
            <w:pPr>
              <w:bidi w:val="0"/>
              <w:spacing w:line="240" w:lineRule="auto"/>
              <w:ind w:left="0" w:leftChars="0" w:firstLine="0" w:firstLineChars="0"/>
              <w:jc w:val="center"/>
              <w:rPr>
                <w:rFonts w:hint="eastAsia"/>
                <w:sz w:val="21"/>
                <w:szCs w:val="21"/>
              </w:rPr>
            </w:pPr>
            <w:r>
              <w:rPr>
                <w:sz w:val="21"/>
                <w:szCs w:val="21"/>
              </w:rPr>
              <w:t>废料</w:t>
            </w:r>
            <w:r>
              <w:rPr>
                <w:rFonts w:hint="eastAsia"/>
                <w:sz w:val="21"/>
                <w:szCs w:val="21"/>
              </w:rPr>
              <w:t>库</w:t>
            </w:r>
          </w:p>
        </w:tc>
        <w:tc>
          <w:tcPr>
            <w:tcW w:w="6440" w:type="dxa"/>
            <w:vAlign w:val="center"/>
          </w:tcPr>
          <w:p>
            <w:pPr>
              <w:bidi w:val="0"/>
              <w:spacing w:line="240" w:lineRule="auto"/>
              <w:ind w:left="0" w:leftChars="0" w:firstLine="0" w:firstLineChars="0"/>
              <w:rPr>
                <w:sz w:val="21"/>
                <w:szCs w:val="21"/>
              </w:rPr>
            </w:pPr>
            <w:r>
              <w:rPr>
                <w:sz w:val="21"/>
                <w:szCs w:val="21"/>
              </w:rPr>
              <w:t>位于厂区西北部，为单层框架结构，平面轴线尺寸20米×9米，建筑面积约195㎡，储存一般固体废弃物。</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jc w:val="center"/>
        </w:trPr>
        <w:tc>
          <w:tcPr>
            <w:tcW w:w="1087" w:type="dxa"/>
            <w:vMerge w:val="continue"/>
            <w:tcBorders>
              <w:right w:val="single" w:color="auto" w:sz="4" w:space="0"/>
            </w:tcBorders>
            <w:vAlign w:val="center"/>
          </w:tcPr>
          <w:p>
            <w:pPr>
              <w:bidi w:val="0"/>
              <w:spacing w:line="240" w:lineRule="auto"/>
              <w:ind w:left="0" w:leftChars="0" w:firstLine="0" w:firstLineChars="0"/>
              <w:rPr>
                <w:sz w:val="21"/>
                <w:szCs w:val="21"/>
              </w:rPr>
            </w:pPr>
          </w:p>
        </w:tc>
        <w:tc>
          <w:tcPr>
            <w:tcW w:w="1063" w:type="dxa"/>
            <w:tcBorders>
              <w:left w:val="single" w:color="auto" w:sz="4" w:space="0"/>
              <w:bottom w:val="single" w:color="auto" w:sz="4" w:space="0"/>
              <w:right w:val="single" w:color="auto" w:sz="4" w:space="0"/>
            </w:tcBorders>
            <w:vAlign w:val="center"/>
          </w:tcPr>
          <w:p>
            <w:pPr>
              <w:bidi w:val="0"/>
              <w:spacing w:line="240" w:lineRule="auto"/>
              <w:ind w:left="0" w:leftChars="0" w:firstLine="0" w:firstLineChars="0"/>
              <w:jc w:val="center"/>
              <w:rPr>
                <w:sz w:val="21"/>
                <w:szCs w:val="21"/>
              </w:rPr>
            </w:pPr>
            <w:r>
              <w:rPr>
                <w:sz w:val="21"/>
                <w:szCs w:val="21"/>
              </w:rPr>
              <w:t>消防水泵房</w:t>
            </w:r>
          </w:p>
        </w:tc>
        <w:tc>
          <w:tcPr>
            <w:tcW w:w="6440" w:type="dxa"/>
            <w:vAlign w:val="center"/>
          </w:tcPr>
          <w:p>
            <w:pPr>
              <w:bidi w:val="0"/>
              <w:spacing w:line="240" w:lineRule="auto"/>
              <w:ind w:left="0" w:leftChars="0" w:firstLine="0" w:firstLineChars="0"/>
              <w:rPr>
                <w:sz w:val="21"/>
                <w:szCs w:val="21"/>
              </w:rPr>
            </w:pPr>
            <w:r>
              <w:rPr>
                <w:sz w:val="21"/>
                <w:szCs w:val="21"/>
              </w:rPr>
              <w:t>位于厂区西南部，为单层混凝土框架结构，平面轴线尺寸为20m×9m，建筑高度为5.55m，占地面积195㎡，建筑面积195㎡。配套消防水池为现浇混凝土结构，长度30m，宽度为20m，水池高度为4.65m，构筑物面积为635㎡。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jc w:val="center"/>
        </w:trPr>
        <w:tc>
          <w:tcPr>
            <w:tcW w:w="1087" w:type="dxa"/>
            <w:vMerge w:val="continue"/>
            <w:tcBorders>
              <w:right w:val="single" w:color="auto" w:sz="4" w:space="0"/>
            </w:tcBorders>
            <w:vAlign w:val="center"/>
          </w:tcPr>
          <w:p>
            <w:pPr>
              <w:bidi w:val="0"/>
              <w:spacing w:line="240" w:lineRule="auto"/>
              <w:ind w:left="0" w:leftChars="0" w:firstLine="0" w:firstLineChars="0"/>
              <w:rPr>
                <w:sz w:val="21"/>
                <w:szCs w:val="21"/>
              </w:rPr>
            </w:pPr>
          </w:p>
        </w:tc>
        <w:tc>
          <w:tcPr>
            <w:tcW w:w="1063" w:type="dxa"/>
            <w:tcBorders>
              <w:left w:val="single" w:color="auto" w:sz="4" w:space="0"/>
              <w:bottom w:val="single" w:color="auto" w:sz="4" w:space="0"/>
              <w:right w:val="single" w:color="auto" w:sz="4" w:space="0"/>
            </w:tcBorders>
            <w:vAlign w:val="center"/>
          </w:tcPr>
          <w:p>
            <w:pPr>
              <w:bidi w:val="0"/>
              <w:spacing w:line="240" w:lineRule="auto"/>
              <w:ind w:left="0" w:leftChars="0" w:firstLine="0" w:firstLineChars="0"/>
              <w:jc w:val="center"/>
              <w:rPr>
                <w:sz w:val="21"/>
                <w:szCs w:val="21"/>
              </w:rPr>
            </w:pPr>
            <w:r>
              <w:rPr>
                <w:sz w:val="21"/>
                <w:szCs w:val="21"/>
              </w:rPr>
              <w:t>原料构件堆场</w:t>
            </w:r>
          </w:p>
        </w:tc>
        <w:tc>
          <w:tcPr>
            <w:tcW w:w="6440" w:type="dxa"/>
            <w:vAlign w:val="center"/>
          </w:tcPr>
          <w:p>
            <w:pPr>
              <w:bidi w:val="0"/>
              <w:spacing w:line="240" w:lineRule="auto"/>
              <w:ind w:left="0" w:leftChars="0" w:firstLine="0" w:firstLineChars="0"/>
              <w:rPr>
                <w:sz w:val="21"/>
                <w:szCs w:val="21"/>
              </w:rPr>
            </w:pPr>
            <w:r>
              <w:rPr>
                <w:sz w:val="21"/>
                <w:szCs w:val="21"/>
              </w:rPr>
              <w:t>位于厂区北部，为露天堆场，占地面积约11638㎡，包括原料构件堆场、清洗棚及门式起重机。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jc w:val="center"/>
        </w:trPr>
        <w:tc>
          <w:tcPr>
            <w:tcW w:w="1087" w:type="dxa"/>
            <w:vMerge w:val="continue"/>
            <w:tcBorders>
              <w:right w:val="single" w:color="auto" w:sz="4" w:space="0"/>
            </w:tcBorders>
            <w:vAlign w:val="center"/>
          </w:tcPr>
          <w:p>
            <w:pPr>
              <w:bidi w:val="0"/>
              <w:spacing w:line="240" w:lineRule="auto"/>
              <w:ind w:left="0" w:leftChars="0" w:firstLine="0" w:firstLineChars="0"/>
              <w:rPr>
                <w:sz w:val="21"/>
                <w:szCs w:val="21"/>
              </w:rPr>
            </w:pPr>
          </w:p>
        </w:tc>
        <w:tc>
          <w:tcPr>
            <w:tcW w:w="1063" w:type="dxa"/>
            <w:tcBorders>
              <w:left w:val="single" w:color="auto" w:sz="4" w:space="0"/>
              <w:bottom w:val="single" w:color="auto" w:sz="4" w:space="0"/>
              <w:right w:val="single" w:color="auto" w:sz="4" w:space="0"/>
            </w:tcBorders>
            <w:vAlign w:val="center"/>
          </w:tcPr>
          <w:p>
            <w:pPr>
              <w:bidi w:val="0"/>
              <w:spacing w:line="240" w:lineRule="auto"/>
              <w:ind w:left="0" w:leftChars="0" w:firstLine="0" w:firstLineChars="0"/>
              <w:jc w:val="center"/>
              <w:rPr>
                <w:sz w:val="21"/>
                <w:szCs w:val="21"/>
              </w:rPr>
            </w:pPr>
            <w:r>
              <w:rPr>
                <w:sz w:val="21"/>
                <w:szCs w:val="21"/>
              </w:rPr>
              <w:t>清洗棚</w:t>
            </w:r>
          </w:p>
        </w:tc>
        <w:tc>
          <w:tcPr>
            <w:tcW w:w="6440" w:type="dxa"/>
            <w:vAlign w:val="center"/>
          </w:tcPr>
          <w:p>
            <w:pPr>
              <w:bidi w:val="0"/>
              <w:spacing w:line="240" w:lineRule="auto"/>
              <w:ind w:left="0" w:leftChars="0" w:firstLine="0" w:firstLineChars="0"/>
              <w:rPr>
                <w:sz w:val="21"/>
                <w:szCs w:val="21"/>
              </w:rPr>
            </w:pPr>
            <w:r>
              <w:rPr>
                <w:sz w:val="21"/>
                <w:szCs w:val="21"/>
              </w:rPr>
              <w:t>位于原料构件堆场，单层轻钢结构，平面轴线尺寸20m×20m，占地面积约412㎡，建筑面积约206㎡。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jc w:val="center"/>
        </w:trPr>
        <w:tc>
          <w:tcPr>
            <w:tcW w:w="1087" w:type="dxa"/>
            <w:vMerge w:val="continue"/>
            <w:tcBorders>
              <w:right w:val="single" w:color="auto" w:sz="4" w:space="0"/>
            </w:tcBorders>
            <w:vAlign w:val="center"/>
          </w:tcPr>
          <w:p>
            <w:pPr>
              <w:bidi w:val="0"/>
              <w:spacing w:line="240" w:lineRule="auto"/>
              <w:ind w:left="0" w:leftChars="0" w:firstLine="0" w:firstLineChars="0"/>
              <w:rPr>
                <w:sz w:val="21"/>
                <w:szCs w:val="21"/>
              </w:rPr>
            </w:pPr>
          </w:p>
        </w:tc>
        <w:tc>
          <w:tcPr>
            <w:tcW w:w="1063" w:type="dxa"/>
            <w:tcBorders>
              <w:left w:val="single" w:color="auto" w:sz="4" w:space="0"/>
              <w:bottom w:val="single" w:color="auto" w:sz="4" w:space="0"/>
              <w:right w:val="single" w:color="auto" w:sz="4" w:space="0"/>
            </w:tcBorders>
            <w:vAlign w:val="center"/>
          </w:tcPr>
          <w:p>
            <w:pPr>
              <w:bidi w:val="0"/>
              <w:spacing w:line="240" w:lineRule="auto"/>
              <w:ind w:left="0" w:leftChars="0" w:firstLine="0" w:firstLineChars="0"/>
              <w:jc w:val="center"/>
              <w:rPr>
                <w:sz w:val="21"/>
                <w:szCs w:val="21"/>
              </w:rPr>
            </w:pPr>
            <w:r>
              <w:rPr>
                <w:sz w:val="21"/>
                <w:szCs w:val="21"/>
              </w:rPr>
              <w:t>成品堆场</w:t>
            </w:r>
          </w:p>
        </w:tc>
        <w:tc>
          <w:tcPr>
            <w:tcW w:w="6440" w:type="dxa"/>
            <w:vAlign w:val="center"/>
          </w:tcPr>
          <w:p>
            <w:pPr>
              <w:bidi w:val="0"/>
              <w:spacing w:line="240" w:lineRule="auto"/>
              <w:ind w:left="0" w:leftChars="0" w:firstLine="0" w:firstLineChars="0"/>
              <w:rPr>
                <w:sz w:val="21"/>
                <w:szCs w:val="21"/>
              </w:rPr>
            </w:pPr>
            <w:r>
              <w:rPr>
                <w:sz w:val="21"/>
                <w:szCs w:val="21"/>
              </w:rPr>
              <w:t>位于厂区南部，为露天堆场，占地面积约5312㎡。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jc w:val="center"/>
        </w:trPr>
        <w:tc>
          <w:tcPr>
            <w:tcW w:w="1087" w:type="dxa"/>
            <w:vMerge w:val="continue"/>
            <w:tcBorders>
              <w:right w:val="single" w:color="auto" w:sz="4" w:space="0"/>
            </w:tcBorders>
            <w:vAlign w:val="center"/>
          </w:tcPr>
          <w:p>
            <w:pPr>
              <w:bidi w:val="0"/>
              <w:spacing w:line="240" w:lineRule="auto"/>
              <w:ind w:left="0" w:leftChars="0" w:firstLine="0" w:firstLineChars="0"/>
              <w:rPr>
                <w:sz w:val="21"/>
                <w:szCs w:val="21"/>
              </w:rPr>
            </w:pPr>
          </w:p>
        </w:tc>
        <w:tc>
          <w:tcPr>
            <w:tcW w:w="1063" w:type="dxa"/>
            <w:tcBorders>
              <w:left w:val="single" w:color="auto" w:sz="4" w:space="0"/>
              <w:bottom w:val="single" w:color="auto" w:sz="4" w:space="0"/>
              <w:right w:val="single" w:color="auto" w:sz="4" w:space="0"/>
            </w:tcBorders>
            <w:vAlign w:val="center"/>
          </w:tcPr>
          <w:p>
            <w:pPr>
              <w:bidi w:val="0"/>
              <w:spacing w:line="240" w:lineRule="auto"/>
              <w:ind w:left="0" w:leftChars="0" w:firstLine="0" w:firstLineChars="0"/>
              <w:jc w:val="center"/>
              <w:rPr>
                <w:sz w:val="21"/>
                <w:szCs w:val="21"/>
              </w:rPr>
            </w:pPr>
            <w:r>
              <w:rPr>
                <w:sz w:val="21"/>
                <w:szCs w:val="21"/>
              </w:rPr>
              <w:t>停车场</w:t>
            </w:r>
          </w:p>
        </w:tc>
        <w:tc>
          <w:tcPr>
            <w:tcW w:w="6440" w:type="dxa"/>
            <w:vAlign w:val="center"/>
          </w:tcPr>
          <w:p>
            <w:pPr>
              <w:bidi w:val="0"/>
              <w:spacing w:line="240" w:lineRule="auto"/>
              <w:ind w:left="0" w:leftChars="0" w:firstLine="0" w:firstLineChars="0"/>
              <w:rPr>
                <w:sz w:val="21"/>
                <w:szCs w:val="21"/>
              </w:rPr>
            </w:pPr>
            <w:r>
              <w:rPr>
                <w:sz w:val="21"/>
                <w:szCs w:val="21"/>
              </w:rPr>
              <w:t>位于厂区东部，停车面积5600㎡（含通道），包括货车停车场、机动车（小轿车等）停车场和非机动车停车场。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jc w:val="center"/>
        </w:trPr>
        <w:tc>
          <w:tcPr>
            <w:tcW w:w="1087" w:type="dxa"/>
            <w:vMerge w:val="continue"/>
            <w:tcBorders>
              <w:right w:val="single" w:color="auto" w:sz="4" w:space="0"/>
            </w:tcBorders>
            <w:vAlign w:val="center"/>
          </w:tcPr>
          <w:p>
            <w:pPr>
              <w:bidi w:val="0"/>
              <w:spacing w:line="240" w:lineRule="auto"/>
              <w:ind w:left="0" w:leftChars="0" w:firstLine="0" w:firstLineChars="0"/>
              <w:rPr>
                <w:sz w:val="21"/>
                <w:szCs w:val="21"/>
              </w:rPr>
            </w:pPr>
          </w:p>
        </w:tc>
        <w:tc>
          <w:tcPr>
            <w:tcW w:w="1063" w:type="dxa"/>
            <w:tcBorders>
              <w:left w:val="single" w:color="auto" w:sz="4" w:space="0"/>
              <w:bottom w:val="single" w:color="auto" w:sz="4" w:space="0"/>
              <w:right w:val="single" w:color="auto" w:sz="4" w:space="0"/>
            </w:tcBorders>
            <w:vAlign w:val="center"/>
          </w:tcPr>
          <w:p>
            <w:pPr>
              <w:bidi w:val="0"/>
              <w:spacing w:line="240" w:lineRule="auto"/>
              <w:ind w:left="0" w:leftChars="0" w:firstLine="0" w:firstLineChars="0"/>
              <w:jc w:val="center"/>
              <w:rPr>
                <w:sz w:val="21"/>
                <w:szCs w:val="21"/>
              </w:rPr>
            </w:pPr>
            <w:r>
              <w:rPr>
                <w:sz w:val="21"/>
                <w:szCs w:val="21"/>
              </w:rPr>
              <w:t>门卫室</w:t>
            </w:r>
          </w:p>
        </w:tc>
        <w:tc>
          <w:tcPr>
            <w:tcW w:w="6440" w:type="dxa"/>
            <w:vAlign w:val="center"/>
          </w:tcPr>
          <w:p>
            <w:pPr>
              <w:bidi w:val="0"/>
              <w:spacing w:line="240" w:lineRule="auto"/>
              <w:ind w:left="0" w:leftChars="0" w:firstLine="0" w:firstLineChars="0"/>
              <w:rPr>
                <w:sz w:val="21"/>
                <w:szCs w:val="21"/>
              </w:rPr>
            </w:pPr>
            <w:r>
              <w:rPr>
                <w:sz w:val="21"/>
                <w:szCs w:val="21"/>
              </w:rPr>
              <w:t>厂区共设2处门卫室，均为单层框架结构。门卫室1在广澳路上，为双侧通行主出入口，单体建筑面积约为38㎡；门卫室2在广澳横二路上，为原料物流出口、成品出入口及消防应急疏散口，单体建筑面积约为77㎡。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jc w:val="center"/>
        </w:trPr>
        <w:tc>
          <w:tcPr>
            <w:tcW w:w="1087" w:type="dxa"/>
            <w:vMerge w:val="restart"/>
            <w:tcBorders>
              <w:right w:val="single" w:color="auto" w:sz="4" w:space="0"/>
            </w:tcBorders>
            <w:vAlign w:val="center"/>
          </w:tcPr>
          <w:p>
            <w:pPr>
              <w:bidi w:val="0"/>
              <w:spacing w:line="240" w:lineRule="auto"/>
              <w:ind w:left="0" w:leftChars="0" w:firstLine="0" w:firstLineChars="0"/>
              <w:rPr>
                <w:sz w:val="21"/>
                <w:szCs w:val="21"/>
              </w:rPr>
            </w:pPr>
            <w:r>
              <w:rPr>
                <w:sz w:val="21"/>
                <w:szCs w:val="21"/>
              </w:rPr>
              <w:t>环保工程</w:t>
            </w:r>
          </w:p>
        </w:tc>
        <w:tc>
          <w:tcPr>
            <w:tcW w:w="1063" w:type="dxa"/>
            <w:tcBorders>
              <w:left w:val="single" w:color="auto" w:sz="4" w:space="0"/>
              <w:bottom w:val="single" w:color="auto" w:sz="4" w:space="0"/>
              <w:right w:val="single" w:color="auto" w:sz="4" w:space="0"/>
            </w:tcBorders>
            <w:vAlign w:val="center"/>
          </w:tcPr>
          <w:p>
            <w:pPr>
              <w:bidi w:val="0"/>
              <w:spacing w:line="240" w:lineRule="auto"/>
              <w:ind w:left="0" w:leftChars="0" w:firstLine="0" w:firstLineChars="0"/>
              <w:jc w:val="center"/>
              <w:rPr>
                <w:sz w:val="21"/>
                <w:szCs w:val="21"/>
              </w:rPr>
            </w:pPr>
            <w:r>
              <w:rPr>
                <w:sz w:val="21"/>
                <w:szCs w:val="21"/>
              </w:rPr>
              <w:t>污水处理</w:t>
            </w:r>
          </w:p>
        </w:tc>
        <w:tc>
          <w:tcPr>
            <w:tcW w:w="6440" w:type="dxa"/>
            <w:vAlign w:val="center"/>
          </w:tcPr>
          <w:p>
            <w:pPr>
              <w:bidi w:val="0"/>
              <w:spacing w:line="240" w:lineRule="auto"/>
              <w:ind w:left="0" w:leftChars="0" w:firstLine="0" w:firstLineChars="0"/>
              <w:rPr>
                <w:sz w:val="21"/>
                <w:szCs w:val="21"/>
              </w:rPr>
            </w:pPr>
            <w:r>
              <w:rPr>
                <w:sz w:val="21"/>
                <w:szCs w:val="21"/>
              </w:rPr>
              <w:t>食堂含油污水经隔油隔渣预处理后与生产废水（清洗棚清洗废水）和生活污水汇合，经三级化粪池处理达到广东省《水污染物排放标准》（DB44/26-2001）第二时段三级标准后排入市政污水管网，经市政管网汇入汕头市南区污水处理厂濠江分厂深化处理后排入濠江。</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jc w:val="center"/>
        </w:trPr>
        <w:tc>
          <w:tcPr>
            <w:tcW w:w="1087" w:type="dxa"/>
            <w:vMerge w:val="continue"/>
            <w:tcBorders>
              <w:right w:val="single" w:color="auto" w:sz="4" w:space="0"/>
            </w:tcBorders>
            <w:vAlign w:val="center"/>
          </w:tcPr>
          <w:p>
            <w:pPr>
              <w:bidi w:val="0"/>
              <w:spacing w:line="240" w:lineRule="auto"/>
              <w:ind w:left="0" w:leftChars="0" w:firstLine="0" w:firstLineChars="0"/>
              <w:rPr>
                <w:sz w:val="21"/>
                <w:szCs w:val="21"/>
              </w:rPr>
            </w:pPr>
          </w:p>
        </w:tc>
        <w:tc>
          <w:tcPr>
            <w:tcW w:w="1063" w:type="dxa"/>
            <w:tcBorders>
              <w:left w:val="single" w:color="auto" w:sz="4" w:space="0"/>
              <w:bottom w:val="single" w:color="auto" w:sz="4" w:space="0"/>
              <w:right w:val="single" w:color="auto" w:sz="4" w:space="0"/>
            </w:tcBorders>
            <w:vAlign w:val="center"/>
          </w:tcPr>
          <w:p>
            <w:pPr>
              <w:bidi w:val="0"/>
              <w:spacing w:line="240" w:lineRule="auto"/>
              <w:ind w:left="0" w:leftChars="0" w:firstLine="0" w:firstLineChars="0"/>
              <w:jc w:val="center"/>
              <w:rPr>
                <w:sz w:val="21"/>
                <w:szCs w:val="21"/>
              </w:rPr>
            </w:pPr>
            <w:r>
              <w:rPr>
                <w:sz w:val="21"/>
                <w:szCs w:val="21"/>
              </w:rPr>
              <w:t>废气处理</w:t>
            </w:r>
          </w:p>
        </w:tc>
        <w:tc>
          <w:tcPr>
            <w:tcW w:w="6440" w:type="dxa"/>
            <w:vAlign w:val="center"/>
          </w:tcPr>
          <w:p>
            <w:pPr>
              <w:bidi w:val="0"/>
              <w:spacing w:line="240" w:lineRule="auto"/>
              <w:ind w:left="0" w:leftChars="0" w:firstLine="0" w:firstLineChars="0"/>
              <w:rPr>
                <w:sz w:val="21"/>
                <w:szCs w:val="21"/>
              </w:rPr>
            </w:pPr>
            <w:r>
              <w:rPr>
                <w:sz w:val="21"/>
                <w:szCs w:val="21"/>
              </w:rPr>
              <w:t>①食堂厨房油烟由专业公司设计灶具及相关的通风系统，并配置静电除油雾设备；②联合厂房补漆间，设置机械排风系统，将废气收集</w:t>
            </w:r>
            <w:r>
              <w:rPr>
                <w:rFonts w:hint="eastAsia"/>
                <w:sz w:val="21"/>
                <w:szCs w:val="21"/>
                <w:lang w:eastAsia="zh-CN"/>
              </w:rPr>
              <w:t>后经</w:t>
            </w:r>
            <w:r>
              <w:rPr>
                <w:rFonts w:hint="eastAsia"/>
                <w:sz w:val="21"/>
                <w:szCs w:val="21"/>
                <w:lang w:val="en-US" w:eastAsia="zh-CN"/>
              </w:rPr>
              <w:t>UV+活性炭</w:t>
            </w:r>
            <w:r>
              <w:rPr>
                <w:sz w:val="21"/>
                <w:szCs w:val="21"/>
              </w:rPr>
              <w:t>处理后引至20m高空排放。</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jc w:val="center"/>
        </w:trPr>
        <w:tc>
          <w:tcPr>
            <w:tcW w:w="1087" w:type="dxa"/>
            <w:vMerge w:val="continue"/>
            <w:tcBorders>
              <w:right w:val="single" w:color="auto" w:sz="4" w:space="0"/>
            </w:tcBorders>
            <w:vAlign w:val="center"/>
          </w:tcPr>
          <w:p>
            <w:pPr>
              <w:bidi w:val="0"/>
              <w:spacing w:line="240" w:lineRule="auto"/>
              <w:ind w:left="0" w:leftChars="0" w:firstLine="0" w:firstLineChars="0"/>
              <w:rPr>
                <w:sz w:val="21"/>
                <w:szCs w:val="21"/>
              </w:rPr>
            </w:pPr>
          </w:p>
        </w:tc>
        <w:tc>
          <w:tcPr>
            <w:tcW w:w="1063" w:type="dxa"/>
            <w:tcBorders>
              <w:left w:val="single" w:color="auto" w:sz="4" w:space="0"/>
              <w:bottom w:val="single" w:color="auto" w:sz="4" w:space="0"/>
              <w:right w:val="single" w:color="auto" w:sz="4" w:space="0"/>
            </w:tcBorders>
            <w:vAlign w:val="center"/>
          </w:tcPr>
          <w:p>
            <w:pPr>
              <w:bidi w:val="0"/>
              <w:spacing w:line="240" w:lineRule="auto"/>
              <w:ind w:left="0" w:leftChars="0" w:firstLine="0" w:firstLineChars="0"/>
              <w:jc w:val="center"/>
              <w:rPr>
                <w:sz w:val="21"/>
                <w:szCs w:val="21"/>
              </w:rPr>
            </w:pPr>
            <w:r>
              <w:rPr>
                <w:sz w:val="21"/>
                <w:szCs w:val="21"/>
              </w:rPr>
              <w:t>噪声治理</w:t>
            </w:r>
          </w:p>
        </w:tc>
        <w:tc>
          <w:tcPr>
            <w:tcW w:w="6440" w:type="dxa"/>
            <w:vAlign w:val="center"/>
          </w:tcPr>
          <w:p>
            <w:pPr>
              <w:bidi w:val="0"/>
              <w:spacing w:line="240" w:lineRule="auto"/>
              <w:ind w:left="0" w:leftChars="0" w:firstLine="0" w:firstLineChars="0"/>
              <w:rPr>
                <w:sz w:val="21"/>
                <w:szCs w:val="21"/>
              </w:rPr>
            </w:pPr>
            <w:r>
              <w:rPr>
                <w:sz w:val="21"/>
                <w:szCs w:val="21"/>
              </w:rPr>
              <w:t>选用高效率、低噪声设备；采取设备减振、建筑隔声吸声、管道消声等综合性降噪措施。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jc w:val="center"/>
        </w:trPr>
        <w:tc>
          <w:tcPr>
            <w:tcW w:w="1087" w:type="dxa"/>
            <w:vMerge w:val="continue"/>
            <w:tcBorders>
              <w:right w:val="single" w:color="auto" w:sz="4" w:space="0"/>
            </w:tcBorders>
            <w:vAlign w:val="center"/>
          </w:tcPr>
          <w:p>
            <w:pPr>
              <w:bidi w:val="0"/>
              <w:spacing w:line="240" w:lineRule="auto"/>
              <w:ind w:left="0" w:leftChars="0" w:firstLine="0" w:firstLineChars="0"/>
              <w:rPr>
                <w:sz w:val="21"/>
                <w:szCs w:val="21"/>
              </w:rPr>
            </w:pPr>
          </w:p>
        </w:tc>
        <w:tc>
          <w:tcPr>
            <w:tcW w:w="1063" w:type="dxa"/>
            <w:tcBorders>
              <w:top w:val="single" w:color="auto" w:sz="4" w:space="0"/>
              <w:left w:val="single" w:color="auto" w:sz="4" w:space="0"/>
              <w:bottom w:val="single" w:color="auto" w:sz="4" w:space="0"/>
              <w:right w:val="single" w:color="auto" w:sz="4" w:space="0"/>
            </w:tcBorders>
            <w:vAlign w:val="center"/>
          </w:tcPr>
          <w:p>
            <w:pPr>
              <w:bidi w:val="0"/>
              <w:spacing w:line="240" w:lineRule="auto"/>
              <w:ind w:left="0" w:leftChars="0" w:firstLine="0" w:firstLineChars="0"/>
              <w:jc w:val="center"/>
              <w:rPr>
                <w:sz w:val="21"/>
                <w:szCs w:val="21"/>
              </w:rPr>
            </w:pPr>
            <w:r>
              <w:rPr>
                <w:sz w:val="21"/>
                <w:szCs w:val="21"/>
              </w:rPr>
              <w:t>固体废物处理</w:t>
            </w:r>
          </w:p>
        </w:tc>
        <w:tc>
          <w:tcPr>
            <w:tcW w:w="6440" w:type="dxa"/>
            <w:vAlign w:val="center"/>
          </w:tcPr>
          <w:p>
            <w:pPr>
              <w:bidi w:val="0"/>
              <w:spacing w:line="240" w:lineRule="auto"/>
              <w:ind w:left="0" w:leftChars="0" w:firstLine="0" w:firstLineChars="0"/>
              <w:rPr>
                <w:sz w:val="21"/>
                <w:szCs w:val="21"/>
              </w:rPr>
            </w:pPr>
            <w:r>
              <w:rPr>
                <w:sz w:val="21"/>
                <w:szCs w:val="21"/>
              </w:rPr>
              <w:t>废油漆桶、废机油桶等危险废物收集后在车间临时储存场所储存后，由有资质的单位转运、处理；员工生活垃圾拟分类收集后，委托环卫部门清运，统一处置。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jc w:val="center"/>
        </w:trPr>
        <w:tc>
          <w:tcPr>
            <w:tcW w:w="8590" w:type="dxa"/>
            <w:gridSpan w:val="3"/>
            <w:vAlign w:val="center"/>
          </w:tcPr>
          <w:p>
            <w:pPr>
              <w:bidi w:val="0"/>
              <w:spacing w:line="240" w:lineRule="auto"/>
              <w:ind w:left="0" w:leftChars="0" w:firstLine="0" w:firstLineChars="0"/>
              <w:rPr>
                <w:sz w:val="21"/>
                <w:szCs w:val="21"/>
              </w:rPr>
            </w:pPr>
            <w:r>
              <w:rPr>
                <w:rFonts w:hint="eastAsia" w:cs="Times New Roman"/>
                <w:color w:val="auto"/>
                <w:sz w:val="21"/>
                <w:szCs w:val="21"/>
                <w:highlight w:val="none"/>
                <w:lang w:val="en-US" w:eastAsia="zh-CN"/>
              </w:rPr>
              <w:t>项目现状主要工程建设与原环评基本一致。</w:t>
            </w:r>
          </w:p>
        </w:tc>
      </w:tr>
    </w:tbl>
    <w:p>
      <w:pPr>
        <w:pStyle w:val="4"/>
      </w:pPr>
      <w:bookmarkStart w:id="53" w:name="_Toc24746_WPSOffice_Level1"/>
      <w:bookmarkStart w:id="54" w:name="_Toc1252"/>
      <w:bookmarkStart w:id="55" w:name="_Toc30182"/>
      <w:bookmarkStart w:id="56" w:name="_Toc3383"/>
      <w:bookmarkStart w:id="57" w:name="_Toc23868"/>
      <w:bookmarkStart w:id="58" w:name="_Toc2133_WPSOffice_Level1"/>
      <w:bookmarkStart w:id="59" w:name="_Toc12121_WPSOffice_Level1"/>
      <w:bookmarkStart w:id="60" w:name="_Toc13307"/>
      <w:bookmarkStart w:id="61" w:name="_Toc23816"/>
      <w:bookmarkStart w:id="62" w:name="_Toc17199"/>
      <w:bookmarkStart w:id="63" w:name="_Toc9620"/>
      <w:r>
        <w:t>3.3</w:t>
      </w:r>
      <w:r>
        <w:rPr>
          <w:rFonts w:hint="eastAsia"/>
        </w:rPr>
        <w:t>主要原</w:t>
      </w:r>
      <w:r>
        <w:t>辅</w:t>
      </w:r>
      <w:r>
        <w:rPr>
          <w:rFonts w:hint="eastAsia"/>
        </w:rPr>
        <w:t>材料</w:t>
      </w:r>
      <w:bookmarkEnd w:id="53"/>
      <w:bookmarkEnd w:id="54"/>
      <w:bookmarkEnd w:id="55"/>
      <w:bookmarkEnd w:id="56"/>
      <w:bookmarkEnd w:id="57"/>
      <w:bookmarkEnd w:id="58"/>
      <w:bookmarkEnd w:id="59"/>
      <w:bookmarkEnd w:id="60"/>
      <w:bookmarkEnd w:id="61"/>
      <w:bookmarkEnd w:id="62"/>
      <w:bookmarkEnd w:id="63"/>
    </w:p>
    <w:p>
      <w:pPr>
        <w:pStyle w:val="6"/>
        <w:snapToGrid w:val="0"/>
        <w:ind w:firstLine="480"/>
        <w:rPr>
          <w:rFonts w:ascii="Times New Roman" w:hAnsi="Times New Roman"/>
          <w:sz w:val="24"/>
          <w:szCs w:val="20"/>
        </w:rPr>
      </w:pPr>
      <w:r>
        <w:rPr>
          <w:rFonts w:ascii="Times New Roman" w:hAnsi="Times New Roman"/>
          <w:sz w:val="24"/>
          <w:szCs w:val="20"/>
        </w:rPr>
        <w:t>原材料</w:t>
      </w:r>
      <w:r>
        <w:rPr>
          <w:rFonts w:hint="eastAsia" w:ascii="Times New Roman" w:hAnsi="Times New Roman"/>
          <w:sz w:val="24"/>
          <w:szCs w:val="20"/>
        </w:rPr>
        <w:t>一览表</w:t>
      </w:r>
      <w:r>
        <w:rPr>
          <w:rFonts w:ascii="Times New Roman" w:hAnsi="Times New Roman"/>
          <w:sz w:val="24"/>
          <w:szCs w:val="20"/>
        </w:rPr>
        <w:t>见表</w:t>
      </w:r>
      <w:r>
        <w:rPr>
          <w:rFonts w:hint="eastAsia" w:ascii="Times New Roman" w:hAnsi="Times New Roman"/>
          <w:sz w:val="24"/>
          <w:szCs w:val="20"/>
        </w:rPr>
        <w:t>3.3-1</w:t>
      </w:r>
      <w:r>
        <w:rPr>
          <w:rFonts w:ascii="Times New Roman" w:hAnsi="Times New Roman"/>
          <w:sz w:val="24"/>
          <w:szCs w:val="20"/>
        </w:rPr>
        <w:t>。</w:t>
      </w:r>
    </w:p>
    <w:p>
      <w:pPr>
        <w:pStyle w:val="16"/>
        <w:spacing w:line="360" w:lineRule="auto"/>
        <w:rPr>
          <w:rFonts w:hint="eastAsia"/>
          <w:sz w:val="24"/>
          <w:szCs w:val="24"/>
        </w:rPr>
      </w:pPr>
      <w:r>
        <w:rPr>
          <w:rFonts w:hint="eastAsia" w:ascii="黑体" w:hAnsi="黑体" w:eastAsia="黑体" w:cs="黑体"/>
          <w:b w:val="0"/>
          <w:bCs/>
          <w:sz w:val="24"/>
          <w:szCs w:val="24"/>
        </w:rPr>
        <w:t>表3.3-1 原</w:t>
      </w:r>
      <w:r>
        <w:rPr>
          <w:rFonts w:hint="eastAsia" w:ascii="黑体" w:hAnsi="黑体" w:eastAsia="黑体" w:cs="黑体"/>
          <w:b w:val="0"/>
          <w:bCs/>
          <w:sz w:val="24"/>
          <w:szCs w:val="24"/>
          <w:lang w:eastAsia="zh-CN"/>
        </w:rPr>
        <w:t>辅</w:t>
      </w:r>
      <w:r>
        <w:rPr>
          <w:rFonts w:hint="eastAsia" w:ascii="黑体" w:hAnsi="黑体" w:eastAsia="黑体" w:cs="黑体"/>
          <w:b w:val="0"/>
          <w:bCs/>
          <w:sz w:val="24"/>
          <w:szCs w:val="24"/>
        </w:rPr>
        <w:t>材料一览表</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
      <w:tblGrid>
        <w:gridCol w:w="667"/>
        <w:gridCol w:w="1335"/>
        <w:gridCol w:w="855"/>
        <w:gridCol w:w="4822"/>
        <w:gridCol w:w="110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13" w:hRule="atLeast"/>
          <w:tblHeader/>
          <w:jc w:val="center"/>
        </w:trPr>
        <w:tc>
          <w:tcPr>
            <w:tcW w:w="667" w:type="dxa"/>
            <w:tcBorders>
              <w:right w:val="single" w:color="auto" w:sz="4" w:space="0"/>
            </w:tcBorders>
            <w:noWrap w:val="0"/>
            <w:vAlign w:val="center"/>
          </w:tcPr>
          <w:p>
            <w:pPr>
              <w:bidi w:val="0"/>
              <w:spacing w:line="240" w:lineRule="auto"/>
              <w:ind w:left="0" w:leftChars="0" w:firstLine="0" w:firstLineChars="0"/>
              <w:jc w:val="center"/>
              <w:rPr>
                <w:sz w:val="21"/>
                <w:szCs w:val="21"/>
              </w:rPr>
            </w:pPr>
            <w:r>
              <w:rPr>
                <w:sz w:val="21"/>
                <w:szCs w:val="21"/>
              </w:rPr>
              <w:t>序号</w:t>
            </w:r>
          </w:p>
        </w:tc>
        <w:tc>
          <w:tcPr>
            <w:tcW w:w="1335" w:type="dxa"/>
            <w:tcBorders>
              <w:left w:val="single" w:color="auto" w:sz="4" w:space="0"/>
            </w:tcBorders>
            <w:noWrap w:val="0"/>
            <w:vAlign w:val="center"/>
          </w:tcPr>
          <w:p>
            <w:pPr>
              <w:bidi w:val="0"/>
              <w:spacing w:line="240" w:lineRule="auto"/>
              <w:ind w:left="0" w:leftChars="0" w:firstLine="0" w:firstLineChars="0"/>
              <w:jc w:val="center"/>
              <w:rPr>
                <w:sz w:val="21"/>
                <w:szCs w:val="21"/>
              </w:rPr>
            </w:pPr>
            <w:r>
              <w:rPr>
                <w:sz w:val="21"/>
                <w:szCs w:val="21"/>
              </w:rPr>
              <w:t>原辅料名称</w:t>
            </w:r>
          </w:p>
        </w:tc>
        <w:tc>
          <w:tcPr>
            <w:tcW w:w="855" w:type="dxa"/>
            <w:noWrap w:val="0"/>
            <w:vAlign w:val="center"/>
          </w:tcPr>
          <w:p>
            <w:pPr>
              <w:bidi w:val="0"/>
              <w:spacing w:line="240" w:lineRule="auto"/>
              <w:ind w:left="0" w:leftChars="0" w:firstLine="0" w:firstLineChars="0"/>
              <w:jc w:val="center"/>
              <w:rPr>
                <w:sz w:val="21"/>
                <w:szCs w:val="21"/>
              </w:rPr>
            </w:pPr>
            <w:r>
              <w:rPr>
                <w:sz w:val="21"/>
                <w:szCs w:val="21"/>
              </w:rPr>
              <w:t>年用量</w:t>
            </w:r>
          </w:p>
        </w:tc>
        <w:tc>
          <w:tcPr>
            <w:tcW w:w="4822" w:type="dxa"/>
            <w:tcBorders>
              <w:right w:val="single" w:color="auto" w:sz="4" w:space="0"/>
            </w:tcBorders>
            <w:noWrap w:val="0"/>
            <w:vAlign w:val="center"/>
          </w:tcPr>
          <w:p>
            <w:pPr>
              <w:bidi w:val="0"/>
              <w:spacing w:line="240" w:lineRule="auto"/>
              <w:ind w:left="0" w:leftChars="0" w:firstLine="0" w:firstLineChars="0"/>
              <w:jc w:val="center"/>
              <w:rPr>
                <w:rFonts w:hint="eastAsia"/>
                <w:sz w:val="21"/>
                <w:szCs w:val="21"/>
                <w:lang w:eastAsia="zh-CN"/>
              </w:rPr>
            </w:pPr>
            <w:r>
              <w:rPr>
                <w:rFonts w:hint="eastAsia"/>
                <w:sz w:val="21"/>
                <w:szCs w:val="21"/>
                <w:lang w:eastAsia="zh-CN"/>
              </w:rPr>
              <w:t>说明</w:t>
            </w:r>
          </w:p>
        </w:tc>
        <w:tc>
          <w:tcPr>
            <w:tcW w:w="1103" w:type="dxa"/>
            <w:tcBorders>
              <w:left w:val="single" w:color="auto" w:sz="4" w:space="0"/>
            </w:tcBorders>
            <w:noWrap w:val="0"/>
            <w:vAlign w:val="center"/>
          </w:tcPr>
          <w:p>
            <w:pPr>
              <w:bidi w:val="0"/>
              <w:spacing w:line="240" w:lineRule="auto"/>
              <w:ind w:left="0" w:leftChars="0" w:firstLine="0" w:firstLineChars="0"/>
              <w:jc w:val="center"/>
              <w:rPr>
                <w:rFonts w:hint="eastAsia"/>
                <w:sz w:val="21"/>
                <w:szCs w:val="21"/>
                <w:lang w:eastAsia="zh-CN"/>
              </w:rPr>
            </w:pPr>
            <w:r>
              <w:rPr>
                <w:sz w:val="21"/>
                <w:szCs w:val="21"/>
              </w:rPr>
              <w:t>储存场所</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13" w:hRule="atLeast"/>
          <w:jc w:val="center"/>
        </w:trPr>
        <w:tc>
          <w:tcPr>
            <w:tcW w:w="667" w:type="dxa"/>
            <w:noWrap w:val="0"/>
            <w:vAlign w:val="center"/>
          </w:tcPr>
          <w:p>
            <w:pPr>
              <w:bidi w:val="0"/>
              <w:spacing w:line="240" w:lineRule="auto"/>
              <w:ind w:left="0" w:leftChars="0" w:firstLine="0" w:firstLineChars="0"/>
              <w:jc w:val="center"/>
              <w:rPr>
                <w:sz w:val="21"/>
                <w:szCs w:val="21"/>
              </w:rPr>
            </w:pPr>
            <w:r>
              <w:rPr>
                <w:sz w:val="21"/>
                <w:szCs w:val="21"/>
              </w:rPr>
              <w:t>1</w:t>
            </w:r>
          </w:p>
        </w:tc>
        <w:tc>
          <w:tcPr>
            <w:tcW w:w="1335" w:type="dxa"/>
            <w:noWrap w:val="0"/>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机械构件</w:t>
            </w:r>
          </w:p>
        </w:tc>
        <w:tc>
          <w:tcPr>
            <w:tcW w:w="855" w:type="dxa"/>
            <w:tcBorders>
              <w:bottom w:val="single" w:color="auto" w:sz="4" w:space="0"/>
            </w:tcBorders>
            <w:noWrap w:val="0"/>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180组</w:t>
            </w:r>
          </w:p>
        </w:tc>
        <w:tc>
          <w:tcPr>
            <w:tcW w:w="4822" w:type="dxa"/>
            <w:tcBorders>
              <w:bottom w:val="single" w:color="auto" w:sz="4" w:space="0"/>
              <w:right w:val="single" w:color="auto" w:sz="4" w:space="0"/>
            </w:tcBorders>
            <w:noWrap w:val="0"/>
            <w:vAlign w:val="center"/>
          </w:tcPr>
          <w:p>
            <w:pPr>
              <w:bidi w:val="0"/>
              <w:spacing w:line="240" w:lineRule="auto"/>
              <w:ind w:left="0" w:leftChars="0" w:firstLine="0" w:firstLineChars="0"/>
              <w:jc w:val="center"/>
              <w:rPr>
                <w:rFonts w:hint="eastAsia"/>
                <w:sz w:val="21"/>
                <w:szCs w:val="21"/>
                <w:lang w:eastAsia="zh-CN"/>
              </w:rPr>
            </w:pPr>
            <w:r>
              <w:rPr>
                <w:rFonts w:hint="eastAsia"/>
                <w:sz w:val="21"/>
                <w:szCs w:val="21"/>
                <w:lang w:eastAsia="zh-CN"/>
              </w:rPr>
              <w:t>外购成品件，</w:t>
            </w:r>
            <w:r>
              <w:rPr>
                <w:rFonts w:hint="eastAsia"/>
                <w:sz w:val="21"/>
                <w:szCs w:val="21"/>
              </w:rPr>
              <w:t>包括轮毂铸件、轮毂整流罩、发电机定子套、发电机转子外壳及部分的运输支架、轮毂与发电机的镀锌钢结构件和开关柜成品、偏航底座、后机架、机舱外壳、冷却塔部件、运输支架、机舱镀锌钢结构件等。</w:t>
            </w:r>
          </w:p>
        </w:tc>
        <w:tc>
          <w:tcPr>
            <w:tcW w:w="1103" w:type="dxa"/>
            <w:tcBorders>
              <w:left w:val="single" w:color="auto" w:sz="4" w:space="0"/>
              <w:bottom w:val="single" w:color="auto" w:sz="4" w:space="0"/>
            </w:tcBorders>
            <w:noWrap w:val="0"/>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原料构件堆场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0" w:hRule="atLeast"/>
          <w:jc w:val="center"/>
        </w:trPr>
        <w:tc>
          <w:tcPr>
            <w:tcW w:w="667" w:type="dxa"/>
            <w:vMerge w:val="restart"/>
            <w:noWrap w:val="0"/>
            <w:vAlign w:val="center"/>
          </w:tcPr>
          <w:p>
            <w:pPr>
              <w:bidi w:val="0"/>
              <w:spacing w:line="240" w:lineRule="auto"/>
              <w:ind w:left="0" w:leftChars="0" w:firstLine="0" w:firstLineChars="0"/>
              <w:jc w:val="center"/>
              <w:rPr>
                <w:sz w:val="21"/>
                <w:szCs w:val="21"/>
              </w:rPr>
            </w:pPr>
            <w:r>
              <w:rPr>
                <w:sz w:val="21"/>
                <w:szCs w:val="21"/>
              </w:rPr>
              <w:t>2</w:t>
            </w:r>
          </w:p>
        </w:tc>
        <w:tc>
          <w:tcPr>
            <w:tcW w:w="1335" w:type="dxa"/>
            <w:vMerge w:val="restart"/>
            <w:noWrap w:val="0"/>
            <w:vAlign w:val="center"/>
          </w:tcPr>
          <w:p>
            <w:pPr>
              <w:bidi w:val="0"/>
              <w:spacing w:line="240" w:lineRule="auto"/>
              <w:ind w:left="0" w:leftChars="0" w:firstLine="0" w:firstLineChars="0"/>
              <w:jc w:val="center"/>
              <w:rPr>
                <w:rFonts w:hint="eastAsia"/>
                <w:sz w:val="21"/>
                <w:szCs w:val="21"/>
                <w:lang w:eastAsia="zh-CN"/>
              </w:rPr>
            </w:pPr>
            <w:r>
              <w:rPr>
                <w:rFonts w:hint="eastAsia"/>
                <w:sz w:val="21"/>
                <w:szCs w:val="21"/>
                <w:lang w:eastAsia="zh-CN"/>
              </w:rPr>
              <w:t>涂料</w:t>
            </w:r>
          </w:p>
        </w:tc>
        <w:tc>
          <w:tcPr>
            <w:tcW w:w="855" w:type="dxa"/>
            <w:tcBorders>
              <w:top w:val="single" w:color="auto" w:sz="4" w:space="0"/>
              <w:bottom w:val="single" w:color="auto" w:sz="4" w:space="0"/>
            </w:tcBorders>
            <w:noWrap w:val="0"/>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1.4t</w:t>
            </w:r>
          </w:p>
        </w:tc>
        <w:tc>
          <w:tcPr>
            <w:tcW w:w="4822" w:type="dxa"/>
            <w:tcBorders>
              <w:top w:val="single" w:color="auto" w:sz="4" w:space="0"/>
              <w:bottom w:val="single" w:color="auto" w:sz="4" w:space="0"/>
              <w:right w:val="single" w:color="auto" w:sz="4" w:space="0"/>
            </w:tcBorders>
            <w:noWrap w:val="0"/>
            <w:vAlign w:val="center"/>
          </w:tcPr>
          <w:p>
            <w:pPr>
              <w:bidi w:val="0"/>
              <w:spacing w:line="240" w:lineRule="auto"/>
              <w:ind w:left="0" w:leftChars="0" w:firstLine="0" w:firstLineChars="0"/>
              <w:jc w:val="center"/>
              <w:rPr>
                <w:rFonts w:hint="eastAsia"/>
                <w:sz w:val="21"/>
                <w:szCs w:val="21"/>
                <w:lang w:eastAsia="zh-CN"/>
              </w:rPr>
            </w:pPr>
            <w:r>
              <w:rPr>
                <w:rFonts w:hint="eastAsia"/>
                <w:sz w:val="21"/>
                <w:szCs w:val="21"/>
                <w:lang w:eastAsia="zh-CN"/>
              </w:rPr>
              <w:t>富锌底漆，成分为稳定型锌粉＜</w:t>
            </w:r>
            <w:r>
              <w:rPr>
                <w:rFonts w:hint="eastAsia"/>
                <w:sz w:val="21"/>
                <w:szCs w:val="21"/>
                <w:lang w:val="en-US" w:eastAsia="zh-CN"/>
              </w:rPr>
              <w:t>50%、丁酮＜20%、二甲苯＜10%、氧化锌＜5%、乙苯＜3%；另外有石灰石、2-甲氧基-1甲基乙基乙酸酯等辅料。</w:t>
            </w:r>
          </w:p>
        </w:tc>
        <w:tc>
          <w:tcPr>
            <w:tcW w:w="1103" w:type="dxa"/>
            <w:vMerge w:val="restart"/>
            <w:tcBorders>
              <w:top w:val="single" w:color="auto" w:sz="4" w:space="0"/>
              <w:left w:val="single" w:color="auto" w:sz="4" w:space="0"/>
            </w:tcBorders>
            <w:noWrap w:val="0"/>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仓库</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0" w:hRule="atLeast"/>
          <w:jc w:val="center"/>
        </w:trPr>
        <w:tc>
          <w:tcPr>
            <w:tcW w:w="667" w:type="dxa"/>
            <w:vMerge w:val="continue"/>
            <w:noWrap w:val="0"/>
            <w:vAlign w:val="center"/>
          </w:tcPr>
          <w:p>
            <w:pPr>
              <w:bidi w:val="0"/>
              <w:spacing w:line="240" w:lineRule="auto"/>
              <w:ind w:left="0" w:leftChars="0" w:firstLine="0" w:firstLineChars="0"/>
              <w:jc w:val="center"/>
              <w:rPr>
                <w:sz w:val="21"/>
                <w:szCs w:val="21"/>
              </w:rPr>
            </w:pPr>
          </w:p>
        </w:tc>
        <w:tc>
          <w:tcPr>
            <w:tcW w:w="1335" w:type="dxa"/>
            <w:vMerge w:val="continue"/>
            <w:noWrap w:val="0"/>
            <w:vAlign w:val="center"/>
          </w:tcPr>
          <w:p>
            <w:pPr>
              <w:bidi w:val="0"/>
              <w:spacing w:line="240" w:lineRule="auto"/>
              <w:ind w:left="0" w:leftChars="0" w:firstLine="0" w:firstLineChars="0"/>
              <w:jc w:val="center"/>
              <w:rPr>
                <w:rFonts w:hint="eastAsia"/>
                <w:sz w:val="21"/>
                <w:szCs w:val="21"/>
                <w:lang w:eastAsia="zh-CN"/>
              </w:rPr>
            </w:pPr>
          </w:p>
        </w:tc>
        <w:tc>
          <w:tcPr>
            <w:tcW w:w="855" w:type="dxa"/>
            <w:tcBorders>
              <w:top w:val="single" w:color="auto" w:sz="4" w:space="0"/>
              <w:bottom w:val="single" w:color="auto" w:sz="4" w:space="0"/>
            </w:tcBorders>
            <w:noWrap w:val="0"/>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1.0t</w:t>
            </w:r>
          </w:p>
        </w:tc>
        <w:tc>
          <w:tcPr>
            <w:tcW w:w="4822" w:type="dxa"/>
            <w:tcBorders>
              <w:top w:val="single" w:color="auto" w:sz="4" w:space="0"/>
              <w:bottom w:val="single" w:color="auto" w:sz="4" w:space="0"/>
              <w:right w:val="single" w:color="auto" w:sz="4" w:space="0"/>
            </w:tcBorders>
            <w:noWrap w:val="0"/>
            <w:vAlign w:val="center"/>
          </w:tcPr>
          <w:p>
            <w:pPr>
              <w:bidi w:val="0"/>
              <w:spacing w:line="240" w:lineRule="auto"/>
              <w:ind w:left="0" w:leftChars="0" w:firstLine="0" w:firstLineChars="0"/>
              <w:jc w:val="center"/>
              <w:rPr>
                <w:rFonts w:hint="eastAsia"/>
                <w:sz w:val="21"/>
                <w:szCs w:val="21"/>
                <w:lang w:eastAsia="zh-CN"/>
              </w:rPr>
            </w:pPr>
            <w:r>
              <w:rPr>
                <w:rFonts w:hint="eastAsia"/>
                <w:sz w:val="21"/>
                <w:szCs w:val="21"/>
                <w:lang w:eastAsia="zh-CN"/>
              </w:rPr>
              <w:t>环氧面漆，成分为石脑油≤</w:t>
            </w:r>
            <w:r>
              <w:rPr>
                <w:rFonts w:hint="eastAsia"/>
                <w:sz w:val="21"/>
                <w:szCs w:val="21"/>
                <w:lang w:val="en-US" w:eastAsia="zh-CN"/>
              </w:rPr>
              <w:t>40%、二甲苯</w:t>
            </w:r>
            <w:r>
              <w:rPr>
                <w:rFonts w:hint="eastAsia"/>
                <w:sz w:val="21"/>
                <w:szCs w:val="21"/>
                <w:lang w:eastAsia="zh-CN"/>
              </w:rPr>
              <w:t>≤</w:t>
            </w:r>
            <w:r>
              <w:rPr>
                <w:rFonts w:hint="eastAsia"/>
                <w:sz w:val="21"/>
                <w:szCs w:val="21"/>
                <w:lang w:val="en-US" w:eastAsia="zh-CN"/>
              </w:rPr>
              <w:t>10%、、2-甲氧基-1甲基乙基乙酸酯</w:t>
            </w:r>
            <w:r>
              <w:rPr>
                <w:rFonts w:hint="eastAsia"/>
                <w:sz w:val="21"/>
                <w:szCs w:val="21"/>
                <w:lang w:eastAsia="zh-CN"/>
              </w:rPr>
              <w:t>≤</w:t>
            </w:r>
            <w:r>
              <w:rPr>
                <w:rFonts w:hint="eastAsia"/>
                <w:sz w:val="21"/>
                <w:szCs w:val="21"/>
                <w:lang w:val="en-US" w:eastAsia="zh-CN"/>
              </w:rPr>
              <w:t>5、乙苯</w:t>
            </w:r>
            <w:r>
              <w:rPr>
                <w:rFonts w:hint="eastAsia"/>
                <w:sz w:val="21"/>
                <w:szCs w:val="21"/>
                <w:lang w:eastAsia="zh-CN"/>
              </w:rPr>
              <w:t>≤</w:t>
            </w:r>
            <w:r>
              <w:rPr>
                <w:rFonts w:hint="eastAsia"/>
                <w:sz w:val="21"/>
                <w:szCs w:val="21"/>
                <w:lang w:val="en-US" w:eastAsia="zh-CN"/>
              </w:rPr>
              <w:t>3%、α</w:t>
            </w:r>
            <w:r>
              <w:rPr>
                <w:rFonts w:hint="default"/>
                <w:sz w:val="21"/>
                <w:szCs w:val="21"/>
                <w:lang w:val="en-US" w:eastAsia="zh-CN"/>
              </w:rPr>
              <w:t>’</w:t>
            </w:r>
            <w:r>
              <w:rPr>
                <w:rFonts w:hint="eastAsia"/>
                <w:sz w:val="21"/>
                <w:szCs w:val="21"/>
                <w:lang w:val="en-US" w:eastAsia="zh-CN"/>
              </w:rPr>
              <w:t>-（1,3-二甲苯二基）双（12-羟基十八酰胺）</w:t>
            </w:r>
            <w:r>
              <w:rPr>
                <w:rFonts w:hint="eastAsia"/>
                <w:sz w:val="21"/>
                <w:szCs w:val="21"/>
                <w:lang w:eastAsia="zh-CN"/>
              </w:rPr>
              <w:t>≤</w:t>
            </w:r>
            <w:r>
              <w:rPr>
                <w:rFonts w:hint="eastAsia"/>
                <w:sz w:val="21"/>
                <w:szCs w:val="21"/>
                <w:lang w:val="en-US" w:eastAsia="zh-CN"/>
              </w:rPr>
              <w:t>3%、双（1,2,2,6,6-五甲基-4-哌啶基）癸二酸酯1,2,2,6,6-五甲基-4-哌啶基</w:t>
            </w:r>
            <w:r>
              <w:rPr>
                <w:rFonts w:hint="eastAsia"/>
                <w:sz w:val="21"/>
                <w:szCs w:val="21"/>
                <w:lang w:eastAsia="zh-CN"/>
              </w:rPr>
              <w:t>≤</w:t>
            </w:r>
            <w:r>
              <w:rPr>
                <w:rFonts w:hint="eastAsia"/>
                <w:sz w:val="21"/>
                <w:szCs w:val="21"/>
                <w:lang w:val="en-US" w:eastAsia="zh-CN"/>
              </w:rPr>
              <w:t>1%、丙烯酸正丁酯</w:t>
            </w:r>
            <w:r>
              <w:rPr>
                <w:rFonts w:hint="eastAsia"/>
                <w:sz w:val="21"/>
                <w:szCs w:val="21"/>
                <w:lang w:eastAsia="zh-CN"/>
              </w:rPr>
              <w:t>≤</w:t>
            </w:r>
            <w:r>
              <w:rPr>
                <w:rFonts w:hint="eastAsia"/>
                <w:sz w:val="21"/>
                <w:szCs w:val="21"/>
                <w:lang w:val="en-US" w:eastAsia="zh-CN"/>
              </w:rPr>
              <w:t>1%。</w:t>
            </w:r>
          </w:p>
        </w:tc>
        <w:tc>
          <w:tcPr>
            <w:tcW w:w="1103" w:type="dxa"/>
            <w:vMerge w:val="continue"/>
            <w:tcBorders>
              <w:left w:val="single" w:color="auto" w:sz="4" w:space="0"/>
            </w:tcBorders>
            <w:noWrap w:val="0"/>
            <w:vAlign w:val="center"/>
          </w:tcPr>
          <w:p>
            <w:pPr>
              <w:bidi w:val="0"/>
              <w:spacing w:line="240" w:lineRule="auto"/>
              <w:rPr>
                <w:rFonts w:hint="eastAsia"/>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13" w:hRule="atLeast"/>
          <w:jc w:val="center"/>
        </w:trPr>
        <w:tc>
          <w:tcPr>
            <w:tcW w:w="667" w:type="dxa"/>
            <w:vMerge w:val="continue"/>
            <w:tcBorders>
              <w:bottom w:val="single" w:color="auto" w:sz="4" w:space="0"/>
            </w:tcBorders>
            <w:noWrap w:val="0"/>
            <w:vAlign w:val="center"/>
          </w:tcPr>
          <w:p>
            <w:pPr>
              <w:bidi w:val="0"/>
              <w:spacing w:line="240" w:lineRule="auto"/>
              <w:ind w:left="0" w:leftChars="0" w:firstLine="0" w:firstLineChars="0"/>
              <w:jc w:val="center"/>
              <w:rPr>
                <w:sz w:val="21"/>
                <w:szCs w:val="21"/>
              </w:rPr>
            </w:pPr>
          </w:p>
        </w:tc>
        <w:tc>
          <w:tcPr>
            <w:tcW w:w="1335" w:type="dxa"/>
            <w:vMerge w:val="continue"/>
            <w:tcBorders>
              <w:bottom w:val="single" w:color="auto" w:sz="4" w:space="0"/>
            </w:tcBorders>
            <w:noWrap w:val="0"/>
            <w:vAlign w:val="center"/>
          </w:tcPr>
          <w:p>
            <w:pPr>
              <w:bidi w:val="0"/>
              <w:spacing w:line="240" w:lineRule="auto"/>
              <w:ind w:left="0" w:leftChars="0" w:firstLine="0" w:firstLineChars="0"/>
              <w:jc w:val="center"/>
              <w:rPr>
                <w:rFonts w:hint="eastAsia"/>
                <w:sz w:val="21"/>
                <w:szCs w:val="21"/>
                <w:lang w:eastAsia="zh-CN"/>
              </w:rPr>
            </w:pPr>
          </w:p>
        </w:tc>
        <w:tc>
          <w:tcPr>
            <w:tcW w:w="855" w:type="dxa"/>
            <w:tcBorders>
              <w:top w:val="single" w:color="auto" w:sz="4" w:space="0"/>
              <w:bottom w:val="single" w:color="auto" w:sz="4" w:space="0"/>
            </w:tcBorders>
            <w:noWrap w:val="0"/>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3.0t</w:t>
            </w:r>
          </w:p>
        </w:tc>
        <w:tc>
          <w:tcPr>
            <w:tcW w:w="4822" w:type="dxa"/>
            <w:tcBorders>
              <w:top w:val="single" w:color="auto" w:sz="4" w:space="0"/>
              <w:bottom w:val="single" w:color="auto" w:sz="4" w:space="0"/>
              <w:right w:val="single" w:color="auto" w:sz="4" w:space="0"/>
            </w:tcBorders>
            <w:noWrap w:val="0"/>
            <w:vAlign w:val="center"/>
          </w:tcPr>
          <w:p>
            <w:pPr>
              <w:bidi w:val="0"/>
              <w:spacing w:line="240" w:lineRule="auto"/>
              <w:ind w:left="0" w:leftChars="0" w:firstLine="0" w:firstLineChars="0"/>
              <w:jc w:val="center"/>
              <w:rPr>
                <w:rFonts w:hint="eastAsia"/>
                <w:sz w:val="21"/>
                <w:szCs w:val="21"/>
                <w:lang w:eastAsia="zh-CN"/>
              </w:rPr>
            </w:pPr>
            <w:r>
              <w:rPr>
                <w:rFonts w:hint="eastAsia"/>
                <w:sz w:val="21"/>
                <w:szCs w:val="21"/>
                <w:lang w:eastAsia="zh-CN"/>
              </w:rPr>
              <w:t>水性丙烯酸磁漆。</w:t>
            </w:r>
          </w:p>
        </w:tc>
        <w:tc>
          <w:tcPr>
            <w:tcW w:w="1103" w:type="dxa"/>
            <w:vMerge w:val="continue"/>
            <w:tcBorders>
              <w:left w:val="single" w:color="auto" w:sz="4" w:space="0"/>
            </w:tcBorders>
            <w:noWrap w:val="0"/>
            <w:vAlign w:val="center"/>
          </w:tcPr>
          <w:p>
            <w:pPr>
              <w:bidi w:val="0"/>
              <w:spacing w:line="240" w:lineRule="auto"/>
              <w:rPr>
                <w:rFonts w:hint="eastAsia"/>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13" w:hRule="atLeast"/>
          <w:jc w:val="center"/>
        </w:trPr>
        <w:tc>
          <w:tcPr>
            <w:tcW w:w="667" w:type="dxa"/>
            <w:noWrap w:val="0"/>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3</w:t>
            </w:r>
          </w:p>
        </w:tc>
        <w:tc>
          <w:tcPr>
            <w:tcW w:w="1335" w:type="dxa"/>
            <w:noWrap w:val="0"/>
            <w:vAlign w:val="center"/>
          </w:tcPr>
          <w:p>
            <w:pPr>
              <w:bidi w:val="0"/>
              <w:spacing w:line="240" w:lineRule="auto"/>
              <w:ind w:left="0" w:leftChars="0" w:firstLine="0" w:firstLineChars="0"/>
              <w:jc w:val="center"/>
              <w:rPr>
                <w:rFonts w:hint="eastAsia"/>
                <w:sz w:val="21"/>
                <w:szCs w:val="21"/>
                <w:lang w:eastAsia="zh-CN"/>
              </w:rPr>
            </w:pPr>
            <w:r>
              <w:rPr>
                <w:rFonts w:hint="eastAsia"/>
                <w:sz w:val="21"/>
                <w:szCs w:val="21"/>
                <w:lang w:eastAsia="zh-CN"/>
              </w:rPr>
              <w:t>柴油</w:t>
            </w:r>
          </w:p>
        </w:tc>
        <w:tc>
          <w:tcPr>
            <w:tcW w:w="855" w:type="dxa"/>
            <w:tcBorders>
              <w:top w:val="single" w:color="auto" w:sz="4" w:space="0"/>
              <w:bottom w:val="single" w:color="auto" w:sz="4" w:space="0"/>
            </w:tcBorders>
            <w:noWrap w:val="0"/>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1.27t</w:t>
            </w:r>
          </w:p>
        </w:tc>
        <w:tc>
          <w:tcPr>
            <w:tcW w:w="4822" w:type="dxa"/>
            <w:tcBorders>
              <w:top w:val="single" w:color="auto" w:sz="4" w:space="0"/>
              <w:bottom w:val="single" w:color="auto" w:sz="4" w:space="0"/>
              <w:right w:val="single" w:color="auto" w:sz="4" w:space="0"/>
            </w:tcBorders>
            <w:noWrap w:val="0"/>
            <w:vAlign w:val="top"/>
          </w:tcPr>
          <w:p>
            <w:pPr>
              <w:bidi w:val="0"/>
              <w:spacing w:line="240" w:lineRule="auto"/>
              <w:ind w:left="0" w:leftChars="0" w:firstLine="0" w:firstLineChars="0"/>
              <w:jc w:val="center"/>
              <w:rPr>
                <w:sz w:val="21"/>
                <w:szCs w:val="21"/>
              </w:rPr>
            </w:pPr>
            <w:r>
              <w:rPr>
                <w:rFonts w:hint="eastAsia"/>
                <w:sz w:val="21"/>
                <w:szCs w:val="21"/>
              </w:rPr>
              <w:t>厂区物流叉车用能源</w:t>
            </w:r>
            <w:r>
              <w:rPr>
                <w:rFonts w:hint="eastAsia"/>
                <w:sz w:val="21"/>
                <w:szCs w:val="21"/>
                <w:lang w:val="en-US" w:eastAsia="zh-CN"/>
              </w:rPr>
              <w:t>。</w:t>
            </w:r>
          </w:p>
        </w:tc>
        <w:tc>
          <w:tcPr>
            <w:tcW w:w="1103" w:type="dxa"/>
            <w:vMerge w:val="continue"/>
            <w:tcBorders>
              <w:left w:val="single" w:color="auto" w:sz="4" w:space="0"/>
            </w:tcBorders>
            <w:noWrap w:val="0"/>
            <w:vAlign w:val="top"/>
          </w:tcPr>
          <w:p>
            <w:pPr>
              <w:bidi w:val="0"/>
              <w:spacing w:line="240" w:lineRule="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13" w:hRule="atLeast"/>
          <w:jc w:val="center"/>
        </w:trPr>
        <w:tc>
          <w:tcPr>
            <w:tcW w:w="8782" w:type="dxa"/>
            <w:gridSpan w:val="5"/>
            <w:noWrap w:val="0"/>
            <w:vAlign w:val="center"/>
          </w:tcPr>
          <w:p>
            <w:pPr>
              <w:bidi w:val="0"/>
              <w:spacing w:line="240" w:lineRule="auto"/>
              <w:ind w:left="0" w:leftChars="0" w:firstLine="0" w:firstLineChars="0"/>
              <w:rPr>
                <w:sz w:val="21"/>
                <w:szCs w:val="21"/>
              </w:rPr>
            </w:pPr>
            <w:r>
              <w:rPr>
                <w:rFonts w:hint="eastAsia" w:cs="Times New Roman"/>
                <w:color w:val="auto"/>
                <w:sz w:val="21"/>
                <w:szCs w:val="21"/>
                <w:highlight w:val="none"/>
                <w:lang w:val="en-US" w:eastAsia="zh-CN"/>
              </w:rPr>
              <w:t>项目现状原辅材料与原环评基本一致。</w:t>
            </w:r>
          </w:p>
        </w:tc>
      </w:tr>
    </w:tbl>
    <w:p>
      <w:pPr>
        <w:pStyle w:val="4"/>
        <w:rPr>
          <w:rFonts w:hint="default" w:eastAsia="宋体"/>
          <w:lang w:val="en-US" w:eastAsia="zh-CN"/>
        </w:rPr>
      </w:pPr>
      <w:bookmarkStart w:id="64" w:name="_Toc17585_WPSOffice_Level1"/>
      <w:bookmarkStart w:id="65" w:name="_Toc28077"/>
      <w:bookmarkStart w:id="66" w:name="_Toc19054_WPSOffice_Level1"/>
      <w:bookmarkStart w:id="67" w:name="_Toc16145"/>
      <w:bookmarkStart w:id="68" w:name="_Toc21600"/>
      <w:bookmarkStart w:id="69" w:name="_Toc1639"/>
      <w:bookmarkStart w:id="70" w:name="_Toc24334_WPSOffice_Level1"/>
      <w:bookmarkStart w:id="71" w:name="_Toc19315"/>
      <w:bookmarkStart w:id="72" w:name="_Toc6418"/>
      <w:bookmarkStart w:id="73" w:name="_Toc29878"/>
      <w:bookmarkStart w:id="74" w:name="_Toc25255"/>
      <w:bookmarkStart w:id="75" w:name="_Toc29938"/>
      <w:bookmarkStart w:id="76" w:name="_Toc13481"/>
      <w:bookmarkStart w:id="77" w:name="_Toc21920_WPSOffice_Level1"/>
      <w:bookmarkStart w:id="78" w:name="_Toc19503_WPSOffice_Level1"/>
      <w:bookmarkStart w:id="79" w:name="_Toc15144"/>
      <w:bookmarkStart w:id="80" w:name="_Toc28807"/>
      <w:bookmarkStart w:id="81" w:name="_Toc32378_WPSOffice_Level1"/>
      <w:bookmarkStart w:id="82" w:name="_Toc2135"/>
      <w:bookmarkStart w:id="83" w:name="_Toc1529_WPSOffice_Level1"/>
      <w:bookmarkStart w:id="84" w:name="_Toc567_WPSOffice_Level1"/>
      <w:bookmarkStart w:id="85" w:name="_Toc6439"/>
      <w:r>
        <w:rPr>
          <w:rFonts w:hint="eastAsia"/>
        </w:rPr>
        <w:t>3.4</w:t>
      </w:r>
      <w:bookmarkEnd w:id="64"/>
      <w:bookmarkEnd w:id="65"/>
      <w:bookmarkEnd w:id="66"/>
      <w:bookmarkEnd w:id="67"/>
      <w:bookmarkEnd w:id="68"/>
      <w:bookmarkEnd w:id="69"/>
      <w:bookmarkEnd w:id="70"/>
      <w:bookmarkEnd w:id="71"/>
      <w:bookmarkEnd w:id="72"/>
      <w:r>
        <w:rPr>
          <w:rFonts w:hint="eastAsia"/>
          <w:lang w:val="en-US" w:eastAsia="zh-CN"/>
        </w:rPr>
        <w:t>公用工程配套情况</w:t>
      </w:r>
      <w:bookmarkEnd w:id="73"/>
    </w:p>
    <w:p>
      <w:pPr>
        <w:bidi w:val="0"/>
        <w:rPr>
          <w:rFonts w:hint="eastAsia"/>
        </w:rPr>
      </w:pPr>
      <w:r>
        <w:rPr>
          <w:rFonts w:hint="eastAsia"/>
        </w:rPr>
        <w:t>给水工程：本项目用水由市政管网给水管道供给</w:t>
      </w:r>
      <w:r>
        <w:rPr>
          <w:rFonts w:hint="eastAsia"/>
          <w:lang w:eastAsia="zh-CN"/>
        </w:rPr>
        <w:t>，预计用水量约为</w:t>
      </w:r>
      <w:r>
        <w:rPr>
          <w:rFonts w:hint="eastAsia"/>
          <w:lang w:val="en-US" w:eastAsia="zh-CN"/>
        </w:rPr>
        <w:t>39.38t/d</w:t>
      </w:r>
      <w:r>
        <w:rPr>
          <w:rFonts w:hint="eastAsia"/>
          <w:lang w:eastAsia="zh-CN"/>
        </w:rPr>
        <w:t>，则年用水量约为</w:t>
      </w:r>
      <w:r>
        <w:rPr>
          <w:rFonts w:hint="eastAsia"/>
          <w:lang w:val="en-US" w:eastAsia="zh-CN"/>
        </w:rPr>
        <w:t>9883.13t。</w:t>
      </w:r>
    </w:p>
    <w:p>
      <w:pPr>
        <w:bidi w:val="0"/>
        <w:rPr>
          <w:rFonts w:hint="eastAsia"/>
        </w:rPr>
      </w:pPr>
      <w:r>
        <w:rPr>
          <w:rFonts w:hint="eastAsia"/>
          <w:lang w:val="en-US" w:eastAsia="zh-CN"/>
        </w:rPr>
        <w:t>电力系统：</w:t>
      </w:r>
      <w:r>
        <w:rPr>
          <w:rFonts w:hint="eastAsia"/>
        </w:rPr>
        <w:t>本项目用电由市政电网供给</w:t>
      </w:r>
      <w:r>
        <w:rPr>
          <w:rFonts w:hint="eastAsia"/>
          <w:lang w:eastAsia="zh-CN"/>
        </w:rPr>
        <w:t>，预计年用电量约</w:t>
      </w:r>
      <w:r>
        <w:rPr>
          <w:rFonts w:hint="eastAsia"/>
          <w:lang w:val="en-US" w:eastAsia="zh-CN"/>
        </w:rPr>
        <w:t>1087万度</w:t>
      </w:r>
      <w:r>
        <w:rPr>
          <w:rFonts w:hint="eastAsia"/>
        </w:rPr>
        <w:t>。</w:t>
      </w:r>
    </w:p>
    <w:p>
      <w:pPr>
        <w:bidi w:val="0"/>
        <w:ind w:left="0" w:leftChars="0" w:firstLine="480" w:firstLineChars="200"/>
      </w:pPr>
      <w:r>
        <w:rPr>
          <w:rFonts w:hint="eastAsia"/>
          <w:lang w:val="en-US" w:eastAsia="zh-CN"/>
        </w:rPr>
        <w:t>能源系统：</w:t>
      </w:r>
      <w:r>
        <w:rPr>
          <w:rFonts w:hint="eastAsia"/>
        </w:rPr>
        <w:t>柴油为厂区物流叉车用能源</w:t>
      </w:r>
      <w:r>
        <w:rPr>
          <w:rFonts w:hint="eastAsia"/>
          <w:lang w:eastAsia="zh-CN"/>
        </w:rPr>
        <w:t>，用于</w:t>
      </w:r>
      <w:r>
        <w:rPr>
          <w:rFonts w:hint="eastAsia"/>
        </w:rPr>
        <w:t>生产车间至露天成品构件堆场</w:t>
      </w:r>
      <w:r>
        <w:rPr>
          <w:rFonts w:hint="eastAsia"/>
          <w:lang w:eastAsia="zh-CN"/>
        </w:rPr>
        <w:t>物料运输。厂区内生活能源使用电和天然气，由市政电网和市政燃气管道供给。</w:t>
      </w:r>
    </w:p>
    <w:p>
      <w:pPr>
        <w:pStyle w:val="4"/>
      </w:pPr>
      <w:bookmarkStart w:id="86" w:name="_Toc21998"/>
      <w:bookmarkStart w:id="87" w:name="_Toc29239_WPSOffice_Level1"/>
      <w:bookmarkStart w:id="88" w:name="_Toc28554"/>
      <w:bookmarkStart w:id="89" w:name="_Toc22949"/>
      <w:bookmarkStart w:id="90" w:name="_Toc29730"/>
      <w:bookmarkStart w:id="91" w:name="_Toc21025_WPSOffice_Level1"/>
      <w:bookmarkStart w:id="92" w:name="_Toc9407"/>
      <w:bookmarkStart w:id="93" w:name="_Toc18319"/>
      <w:bookmarkStart w:id="94" w:name="_Toc3422"/>
      <w:bookmarkStart w:id="95" w:name="_Toc11195_WPSOffice_Level1"/>
      <w:r>
        <w:t>3.</w:t>
      </w:r>
      <w:r>
        <w:rPr>
          <w:rFonts w:hint="eastAsia"/>
        </w:rPr>
        <w:t>5生产工艺</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pPr>
        <w:pStyle w:val="17"/>
        <w:ind w:firstLine="480"/>
        <w:rPr>
          <w:rFonts w:hint="eastAsia"/>
          <w:b w:val="0"/>
          <w:bCs/>
          <w:sz w:val="24"/>
          <w:szCs w:val="22"/>
          <w:lang w:val="en-US" w:eastAsia="zh-CN"/>
        </w:rPr>
      </w:pPr>
      <w:r>
        <w:rPr>
          <w:b w:val="0"/>
          <w:bCs/>
          <w:sz w:val="24"/>
          <w:szCs w:val="22"/>
        </w:rPr>
        <w:t>本项目</w:t>
      </w:r>
      <w:r>
        <w:rPr>
          <w:rFonts w:hint="eastAsia"/>
          <w:b w:val="0"/>
          <w:bCs/>
          <w:sz w:val="24"/>
          <w:szCs w:val="22"/>
          <w:lang w:val="en-US" w:eastAsia="zh-CN"/>
        </w:rPr>
        <w:t>运营期工艺流程说明：</w:t>
      </w:r>
    </w:p>
    <w:p>
      <w:pPr>
        <w:spacing w:line="360" w:lineRule="auto"/>
        <w:rPr>
          <w:sz w:val="24"/>
          <w:szCs w:val="24"/>
        </w:rPr>
      </w:pPr>
      <w:r>
        <w:rPr>
          <w:rFonts w:hint="eastAsia"/>
          <w:sz w:val="24"/>
          <w:szCs w:val="24"/>
        </w:rPr>
        <w:t>（1）配件装配</w:t>
      </w:r>
      <w:r>
        <w:rPr>
          <w:rFonts w:hint="eastAsia"/>
          <w:sz w:val="24"/>
          <w:szCs w:val="24"/>
          <w:lang w:eastAsia="zh-CN"/>
        </w:rPr>
        <w:t>：</w:t>
      </w:r>
      <w:r>
        <w:rPr>
          <w:rFonts w:hint="eastAsia"/>
          <w:sz w:val="24"/>
          <w:szCs w:val="24"/>
        </w:rPr>
        <w:t>①轮毂装配：轮毂小件装配→变桨轴承组装→蓄能器单元组装（液压系统预装）→轮毂总装→整流罩组装→总装与测试。②机舱装配：清洗机舱罩→主控柜组装→偏航组装→主机架组装→安装机舱1站（机舱壳底座组装）→安装机舱2站（后机架组装）→安装机舱3站（机舱上顶盖组装）→冷却塔组装→总装→机舱测试</w:t>
      </w:r>
    </w:p>
    <w:p>
      <w:pPr>
        <w:pStyle w:val="15"/>
        <w:rPr>
          <w:rFonts w:hint="default"/>
          <w:lang w:val="en-US" w:eastAsia="zh-CN"/>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eastAsia"/>
          <w:sz w:val="24"/>
          <w:szCs w:val="24"/>
        </w:rPr>
        <w:t>风力发电机组总成装配：机舱组件上线→组装发电机→安装轮毂→整机测试→补漆（对装配过程中机舱外观局部损坏进行修补，人工手工涂漆，在密闭补漆间进行）→运至室外成品构件堆场。</w:t>
      </w:r>
    </w:p>
    <w:p>
      <w:pPr>
        <w:pStyle w:val="2"/>
        <w:jc w:val="center"/>
        <w:rPr>
          <w:rFonts w:hint="eastAsia" w:eastAsia="宋体"/>
          <w:b/>
          <w:bCs/>
          <w:sz w:val="28"/>
          <w:szCs w:val="28"/>
          <w:lang w:eastAsia="zh-CN"/>
        </w:rPr>
      </w:pPr>
      <w:r>
        <w:rPr>
          <w:rFonts w:hint="eastAsia" w:eastAsia="宋体"/>
          <w:b/>
          <w:color w:val="auto"/>
          <w:sz w:val="24"/>
          <w:highlight w:val="none"/>
          <w:lang w:eastAsia="zh-CN"/>
        </w:rPr>
        <w:drawing>
          <wp:inline distT="0" distB="0" distL="114300" distR="114300">
            <wp:extent cx="6237605" cy="5355590"/>
            <wp:effectExtent l="9525" t="9525" r="20320" b="26035"/>
            <wp:docPr id="134" name="图片 1" descr="Visio-风电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 descr="Visio-风电工艺流程"/>
                    <pic:cNvPicPr>
                      <a:picLocks noChangeAspect="1"/>
                    </pic:cNvPicPr>
                  </pic:nvPicPr>
                  <pic:blipFill>
                    <a:blip r:embed="rId7"/>
                    <a:srcRect/>
                    <a:stretch>
                      <a:fillRect/>
                    </a:stretch>
                  </pic:blipFill>
                  <pic:spPr>
                    <a:xfrm>
                      <a:off x="0" y="0"/>
                      <a:ext cx="6237605" cy="535559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2"/>
        <w:jc w:val="center"/>
        <w:rPr>
          <w:rFonts w:ascii="Times New Roman" w:hAnsi="Times New Roman"/>
        </w:rPr>
      </w:pPr>
      <w:r>
        <w:rPr>
          <w:rFonts w:hint="eastAsia" w:ascii="黑体" w:hAnsi="黑体" w:eastAsia="黑体" w:cs="黑体"/>
          <w:b w:val="0"/>
          <w:bCs w:val="0"/>
          <w:sz w:val="21"/>
          <w:szCs w:val="21"/>
          <w:lang w:eastAsia="zh-CN"/>
        </w:rPr>
        <w:t xml:space="preserve">图3.5-1 </w:t>
      </w:r>
      <w:r>
        <w:rPr>
          <w:rFonts w:hint="eastAsia" w:ascii="黑体" w:hAnsi="黑体" w:eastAsia="黑体" w:cs="黑体"/>
          <w:b w:val="0"/>
          <w:bCs w:val="0"/>
          <w:sz w:val="21"/>
          <w:szCs w:val="21"/>
          <w:lang w:val="en-US" w:eastAsia="zh-CN"/>
        </w:rPr>
        <w:t>运营期工艺流程及产污</w:t>
      </w:r>
      <w:r>
        <w:rPr>
          <w:rFonts w:hint="eastAsia" w:ascii="黑体" w:hAnsi="黑体" w:eastAsia="黑体" w:cs="黑体"/>
          <w:b w:val="0"/>
          <w:bCs w:val="0"/>
          <w:sz w:val="21"/>
          <w:szCs w:val="21"/>
          <w:lang w:eastAsia="zh-CN"/>
        </w:rPr>
        <w:t>示意图</w:t>
      </w:r>
    </w:p>
    <w:p>
      <w:pPr>
        <w:pStyle w:val="4"/>
      </w:pPr>
      <w:bookmarkStart w:id="96" w:name="_Toc4961_WPSOffice_Level1"/>
      <w:bookmarkStart w:id="97" w:name="_Toc20470"/>
      <w:bookmarkStart w:id="98" w:name="_Toc15840"/>
      <w:bookmarkStart w:id="99" w:name="_Toc30867"/>
      <w:bookmarkStart w:id="100" w:name="_Toc17211"/>
      <w:bookmarkStart w:id="101" w:name="_Toc14375"/>
      <w:bookmarkStart w:id="102" w:name="_Toc10511_WPSOffice_Level1"/>
      <w:bookmarkStart w:id="103" w:name="_Toc11070"/>
      <w:bookmarkStart w:id="104" w:name="_Toc5917"/>
      <w:bookmarkStart w:id="105" w:name="_Toc707_WPSOffice_Level1"/>
      <w:bookmarkStart w:id="106" w:name="_Toc27428_WPSOffice_Level1"/>
      <w:bookmarkStart w:id="107" w:name="_Toc9659"/>
      <w:bookmarkStart w:id="108" w:name="_Toc8902"/>
      <w:bookmarkStart w:id="109" w:name="_Toc3688_WPSOffice_Level1"/>
      <w:bookmarkStart w:id="110" w:name="_Toc19374"/>
      <w:bookmarkStart w:id="111" w:name="_Toc3508"/>
      <w:bookmarkStart w:id="112" w:name="_Toc4874_WPSOffice_Level1"/>
      <w:bookmarkStart w:id="113" w:name="_Toc9308_WPSOffice_Level1"/>
      <w:bookmarkStart w:id="114" w:name="_Toc6998"/>
      <w:bookmarkStart w:id="115" w:name="_Toc1848_WPSOffice_Level1"/>
      <w:bookmarkStart w:id="116" w:name="_Toc12296"/>
      <w:bookmarkStart w:id="117" w:name="_Toc19889"/>
      <w:r>
        <w:rPr>
          <w:rFonts w:hint="eastAsia"/>
        </w:rPr>
        <w:t>3.6项目变动情况</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ind w:firstLine="480"/>
      </w:pPr>
      <w:r>
        <w:rPr>
          <w:rFonts w:hint="eastAsia"/>
        </w:rPr>
        <w:t>对照原环评批建内容，项目实际建设情况与环评</w:t>
      </w:r>
      <w:r>
        <w:rPr>
          <w:rFonts w:hint="eastAsia"/>
          <w:lang w:eastAsia="zh-CN"/>
        </w:rPr>
        <w:t>基本</w:t>
      </w:r>
      <w:r>
        <w:rPr>
          <w:rFonts w:hint="eastAsia"/>
        </w:rPr>
        <w:t>一致，无重大变动。</w:t>
      </w:r>
    </w:p>
    <w:p>
      <w:pPr>
        <w:pStyle w:val="3"/>
        <w:rPr>
          <w:rFonts w:hint="eastAsia"/>
        </w:rPr>
      </w:pPr>
      <w:bookmarkStart w:id="118" w:name="_Toc19416"/>
      <w:bookmarkStart w:id="119" w:name="_Toc14382"/>
      <w:bookmarkStart w:id="120" w:name="_Toc23853"/>
      <w:r>
        <w:t>4</w:t>
      </w:r>
      <w:r>
        <w:rPr>
          <w:rFonts w:hint="eastAsia"/>
          <w:lang w:eastAsia="zh-CN"/>
        </w:rPr>
        <w:t>、</w:t>
      </w:r>
      <w:r>
        <w:rPr>
          <w:rFonts w:hint="eastAsia"/>
        </w:rPr>
        <w:t>项目施工期情况</w:t>
      </w:r>
      <w:bookmarkEnd w:id="118"/>
      <w:bookmarkEnd w:id="119"/>
      <w:bookmarkEnd w:id="120"/>
    </w:p>
    <w:p>
      <w:pPr>
        <w:keepNext w:val="0"/>
        <w:keepLines w:val="0"/>
        <w:suppressLineNumbers w:val="0"/>
        <w:spacing w:before="0" w:beforeAutospacing="0" w:after="0" w:afterAutospacing="0" w:line="360" w:lineRule="auto"/>
        <w:ind w:left="0" w:right="0" w:firstLine="480" w:firstLineChars="200"/>
        <w:jc w:val="left"/>
        <w:rPr>
          <w:rFonts w:hint="default" w:ascii="Calibri" w:hAnsi="Calibri" w:eastAsia="宋体" w:cs="Times New Roman"/>
          <w:bCs/>
          <w:color w:val="auto"/>
          <w:sz w:val="24"/>
          <w:highlight w:val="none"/>
          <w:lang w:val="en-US" w:eastAsia="zh-CN"/>
        </w:rPr>
      </w:pPr>
      <w:r>
        <w:rPr>
          <w:rFonts w:hint="eastAsia"/>
          <w:lang w:val="en-US" w:eastAsia="zh-CN"/>
        </w:rPr>
        <w:t>本项目施工期为2018年12月~2019年12月，施工期</w:t>
      </w:r>
      <w:r>
        <w:rPr>
          <w:rFonts w:ascii="Calibri" w:hAnsi="Calibri" w:eastAsia="宋体" w:cs="Times New Roman"/>
          <w:color w:val="auto"/>
          <w:sz w:val="24"/>
          <w:highlight w:val="none"/>
        </w:rPr>
        <w:t>废水主要来自砂石冲洗、混凝土养护、场地和设备冲洗等过程，此外还有施工人员的生活污水</w:t>
      </w:r>
      <w:r>
        <w:rPr>
          <w:rFonts w:hint="eastAsia" w:ascii="Calibri" w:hAnsi="Calibri" w:eastAsia="宋体" w:cs="Times New Roman"/>
          <w:color w:val="auto"/>
          <w:sz w:val="24"/>
          <w:highlight w:val="none"/>
          <w:lang w:eastAsia="zh-CN"/>
        </w:rPr>
        <w:t>；</w:t>
      </w:r>
      <w:r>
        <w:rPr>
          <w:rFonts w:ascii="Calibri" w:hAnsi="Calibri" w:eastAsia="宋体" w:cs="Times New Roman"/>
          <w:bCs/>
          <w:color w:val="auto"/>
          <w:sz w:val="24"/>
          <w:highlight w:val="none"/>
        </w:rPr>
        <w:t>废气主要来自施工过程产生扬尘、施工机械尾气、油漆废气以及工地食堂的油烟废气</w:t>
      </w:r>
      <w:r>
        <w:rPr>
          <w:rFonts w:hint="eastAsia" w:ascii="Calibri" w:hAnsi="Calibri" w:eastAsia="宋体" w:cs="Times New Roman"/>
          <w:bCs/>
          <w:color w:val="auto"/>
          <w:sz w:val="24"/>
          <w:highlight w:val="none"/>
          <w:lang w:eastAsia="zh-CN"/>
        </w:rPr>
        <w:t>；</w:t>
      </w:r>
      <w:r>
        <w:rPr>
          <w:rFonts w:ascii="Calibri" w:hAnsi="Calibri" w:eastAsia="宋体" w:cs="Times New Roman"/>
          <w:bCs/>
          <w:color w:val="auto"/>
          <w:sz w:val="24"/>
          <w:highlight w:val="none"/>
        </w:rPr>
        <w:t>施工过程运输车辆和施工机械均会产生噪声</w:t>
      </w:r>
      <w:r>
        <w:rPr>
          <w:rFonts w:hint="eastAsia" w:ascii="Calibri" w:hAnsi="Calibri" w:eastAsia="宋体" w:cs="Times New Roman"/>
          <w:bCs/>
          <w:color w:val="auto"/>
          <w:sz w:val="24"/>
          <w:highlight w:val="none"/>
          <w:lang w:eastAsia="zh-CN"/>
        </w:rPr>
        <w:t>；</w:t>
      </w:r>
      <w:r>
        <w:rPr>
          <w:rFonts w:ascii="Calibri" w:hAnsi="Calibri" w:eastAsia="宋体" w:cs="Times New Roman"/>
          <w:color w:val="auto"/>
          <w:sz w:val="24"/>
          <w:highlight w:val="none"/>
        </w:rPr>
        <w:t>固体废物主要为施工人员生活垃圾、施工弃土、建筑垃圾</w:t>
      </w:r>
      <w:r>
        <w:rPr>
          <w:rFonts w:hint="eastAsia" w:ascii="Calibri" w:hAnsi="Calibri" w:eastAsia="宋体" w:cs="Times New Roman"/>
          <w:color w:val="auto"/>
          <w:sz w:val="24"/>
          <w:highlight w:val="none"/>
          <w:lang w:eastAsia="zh-CN"/>
        </w:rPr>
        <w:t>；</w:t>
      </w:r>
      <w:r>
        <w:rPr>
          <w:rFonts w:hint="eastAsia" w:ascii="Calibri" w:hAnsi="Calibri" w:eastAsia="宋体" w:cs="Times New Roman"/>
          <w:color w:val="auto"/>
          <w:sz w:val="24"/>
          <w:highlight w:val="none"/>
          <w:lang w:val="en-US" w:eastAsia="zh-CN"/>
        </w:rPr>
        <w:t>另外</w:t>
      </w:r>
      <w:r>
        <w:rPr>
          <w:rFonts w:ascii="Calibri" w:hAnsi="Calibri" w:eastAsia="宋体" w:cs="Times New Roman"/>
          <w:color w:val="auto"/>
          <w:sz w:val="24"/>
          <w:highlight w:val="none"/>
        </w:rPr>
        <w:t>施工过程中局部土方开挖等影响，容易造成拟建项目所在区域的地表发生水土流失。</w:t>
      </w:r>
    </w:p>
    <w:p>
      <w:pPr>
        <w:adjustRightInd w:val="0"/>
        <w:ind w:firstLine="480"/>
        <w:rPr>
          <w:rFonts w:hint="eastAsia"/>
          <w:lang w:val="en-US" w:eastAsia="zh-CN"/>
        </w:rPr>
      </w:pPr>
      <w:r>
        <w:rPr>
          <w:rFonts w:hint="eastAsia"/>
          <w:lang w:val="en-US" w:eastAsia="zh-CN"/>
        </w:rPr>
        <w:t>以上施工期污染随着项目施工期结束已消失。</w:t>
      </w:r>
    </w:p>
    <w:p>
      <w:pPr>
        <w:pStyle w:val="3"/>
        <w:bidi w:val="0"/>
        <w:rPr>
          <w:rFonts w:hint="default"/>
          <w:lang w:val="en-US" w:eastAsia="zh-CN"/>
        </w:rPr>
      </w:pPr>
      <w:bookmarkStart w:id="121" w:name="_Toc14845"/>
      <w:r>
        <w:rPr>
          <w:rFonts w:hint="eastAsia"/>
          <w:lang w:val="en-US" w:eastAsia="zh-CN"/>
        </w:rPr>
        <w:t>5、项目运营期情况</w:t>
      </w:r>
      <w:bookmarkEnd w:id="121"/>
    </w:p>
    <w:p>
      <w:pPr>
        <w:pStyle w:val="4"/>
      </w:pPr>
      <w:bookmarkStart w:id="122" w:name="_Toc18179"/>
      <w:bookmarkStart w:id="123" w:name="_Toc5786"/>
      <w:bookmarkStart w:id="124" w:name="_Toc7704"/>
      <w:bookmarkStart w:id="125" w:name="_Toc18813"/>
      <w:bookmarkStart w:id="126" w:name="_Toc6644"/>
      <w:bookmarkStart w:id="127" w:name="_Toc14350"/>
      <w:bookmarkStart w:id="128" w:name="_Toc1219"/>
      <w:bookmarkStart w:id="129" w:name="_Toc22664_WPSOffice_Level1"/>
      <w:bookmarkStart w:id="130" w:name="_Toc6462_WPSOffice_Level1"/>
      <w:bookmarkStart w:id="131" w:name="_Toc13641_WPSOffice_Level1"/>
      <w:bookmarkStart w:id="132" w:name="_Toc10987"/>
      <w:r>
        <w:rPr>
          <w:rFonts w:hint="eastAsia"/>
          <w:lang w:val="en-US" w:eastAsia="zh-CN"/>
        </w:rPr>
        <w:t>5</w:t>
      </w:r>
      <w:r>
        <w:rPr>
          <w:rFonts w:hint="eastAsia"/>
        </w:rPr>
        <w:t>.1废水</w:t>
      </w:r>
      <w:bookmarkEnd w:id="122"/>
      <w:bookmarkEnd w:id="123"/>
      <w:bookmarkEnd w:id="124"/>
      <w:bookmarkEnd w:id="125"/>
      <w:bookmarkEnd w:id="126"/>
      <w:bookmarkEnd w:id="127"/>
      <w:bookmarkEnd w:id="128"/>
      <w:bookmarkEnd w:id="129"/>
      <w:bookmarkEnd w:id="130"/>
      <w:bookmarkEnd w:id="131"/>
      <w:bookmarkEnd w:id="132"/>
    </w:p>
    <w:p>
      <w:pPr>
        <w:adjustRightInd w:val="0"/>
        <w:ind w:firstLine="480"/>
        <w:rPr>
          <w:rFonts w:hint="eastAsia" w:eastAsia="宋体"/>
          <w:lang w:val="en-US" w:eastAsia="zh-CN"/>
        </w:rPr>
      </w:pPr>
      <w:r>
        <w:rPr>
          <w:rFonts w:hint="eastAsia"/>
          <w:color w:val="auto"/>
          <w:sz w:val="24"/>
          <w:highlight w:val="none"/>
          <w:lang w:eastAsia="zh-CN"/>
        </w:rPr>
        <w:t>本</w:t>
      </w:r>
      <w:r>
        <w:rPr>
          <w:color w:val="auto"/>
          <w:sz w:val="24"/>
          <w:highlight w:val="none"/>
        </w:rPr>
        <w:t>项目营运期间排放的废水主要是员工日常生活污水</w:t>
      </w:r>
      <w:r>
        <w:rPr>
          <w:rFonts w:hint="eastAsia"/>
          <w:color w:val="auto"/>
          <w:sz w:val="24"/>
          <w:highlight w:val="none"/>
          <w:lang w:val="en-US" w:eastAsia="zh-CN"/>
        </w:rPr>
        <w:t>和</w:t>
      </w:r>
      <w:r>
        <w:rPr>
          <w:rFonts w:hint="eastAsia"/>
          <w:bCs/>
          <w:color w:val="auto"/>
          <w:sz w:val="24"/>
          <w:highlight w:val="none"/>
          <w:lang w:val="en-US" w:eastAsia="zh-CN"/>
        </w:rPr>
        <w:t>清洗</w:t>
      </w:r>
      <w:r>
        <w:rPr>
          <w:rFonts w:hint="eastAsia"/>
          <w:color w:val="auto"/>
          <w:sz w:val="24"/>
          <w:highlight w:val="none"/>
          <w:lang w:eastAsia="zh-CN"/>
        </w:rPr>
        <w:t>棚原构件</w:t>
      </w:r>
      <w:r>
        <w:rPr>
          <w:rFonts w:hint="eastAsia"/>
          <w:bCs/>
          <w:color w:val="auto"/>
          <w:sz w:val="24"/>
          <w:highlight w:val="none"/>
          <w:lang w:val="en-US" w:eastAsia="zh-CN"/>
        </w:rPr>
        <w:t>清洗</w:t>
      </w:r>
      <w:r>
        <w:rPr>
          <w:rFonts w:hint="eastAsia"/>
          <w:color w:val="auto"/>
          <w:sz w:val="24"/>
          <w:highlight w:val="none"/>
          <w:lang w:eastAsia="zh-CN"/>
        </w:rPr>
        <w:t>废水，</w:t>
      </w:r>
      <w:r>
        <w:rPr>
          <w:rFonts w:hint="eastAsia" w:ascii="Times New Roman" w:hAnsi="Times New Roman" w:eastAsia="宋体" w:cs="Times New Roman"/>
          <w:color w:val="auto"/>
          <w:sz w:val="24"/>
          <w:highlight w:val="none"/>
          <w:lang w:eastAsia="zh-CN"/>
        </w:rPr>
        <w:t>本项目</w:t>
      </w:r>
      <w:r>
        <w:rPr>
          <w:rFonts w:hint="default"/>
          <w:color w:val="auto"/>
          <w:sz w:val="24"/>
          <w:highlight w:val="none"/>
        </w:rPr>
        <w:t>位于</w:t>
      </w:r>
      <w:r>
        <w:rPr>
          <w:rFonts w:hint="eastAsia"/>
          <w:color w:val="auto"/>
          <w:sz w:val="24"/>
          <w:highlight w:val="none"/>
          <w:lang w:eastAsia="zh-CN"/>
        </w:rPr>
        <w:t>汕头市南区污水处理厂</w:t>
      </w:r>
      <w:r>
        <w:rPr>
          <w:rFonts w:hint="default"/>
          <w:color w:val="auto"/>
          <w:sz w:val="24"/>
          <w:highlight w:val="none"/>
        </w:rPr>
        <w:t>纳污范围，</w:t>
      </w:r>
      <w:r>
        <w:rPr>
          <w:rFonts w:hint="eastAsia"/>
          <w:color w:val="auto"/>
          <w:sz w:val="24"/>
          <w:highlight w:val="none"/>
          <w:lang w:eastAsia="zh-CN"/>
        </w:rPr>
        <w:t>项目污水</w:t>
      </w:r>
      <w:r>
        <w:rPr>
          <w:rFonts w:hint="eastAsia"/>
          <w:color w:val="auto"/>
          <w:sz w:val="24"/>
          <w:szCs w:val="24"/>
          <w:highlight w:val="none"/>
          <w:lang w:eastAsia="zh-CN"/>
        </w:rPr>
        <w:t>经三级化粪池预处理，食堂含油污水经隔油池预处理后达到</w:t>
      </w:r>
      <w:r>
        <w:rPr>
          <w:rFonts w:ascii="Times New Roman" w:hAnsi="Times New Roman" w:cs="Times New Roman"/>
          <w:sz w:val="24"/>
        </w:rPr>
        <w:t>广东省地方标准《水污染物排放限值》（DB44/26-2001）中第二时段第二类污染物最高允许排放浓度的三级</w:t>
      </w:r>
      <w:r>
        <w:rPr>
          <w:rFonts w:hint="eastAsia"/>
          <w:color w:val="auto"/>
          <w:sz w:val="24"/>
          <w:szCs w:val="24"/>
          <w:highlight w:val="none"/>
          <w:lang w:eastAsia="zh-CN"/>
        </w:rPr>
        <w:t>标准后通过市政污水管网汇入汕头市南区污水处理厂进行集中处理后排入濠江。</w:t>
      </w:r>
    </w:p>
    <w:p>
      <w:pPr>
        <w:pStyle w:val="4"/>
      </w:pPr>
      <w:bookmarkStart w:id="133" w:name="_Toc29155"/>
      <w:bookmarkStart w:id="134" w:name="_Toc29129_WPSOffice_Level1"/>
      <w:bookmarkStart w:id="135" w:name="_Toc25025_WPSOffice_Level1"/>
      <w:bookmarkStart w:id="136" w:name="_Toc10695"/>
      <w:bookmarkStart w:id="137" w:name="_Toc12653_WPSOffice_Level1"/>
      <w:bookmarkStart w:id="138" w:name="_Toc2366"/>
      <w:bookmarkStart w:id="139" w:name="_Toc27712_WPSOffice_Level1"/>
      <w:bookmarkStart w:id="140" w:name="_Toc14495"/>
      <w:bookmarkStart w:id="141" w:name="_Toc3763"/>
      <w:bookmarkStart w:id="142" w:name="_Toc17187"/>
      <w:bookmarkStart w:id="143" w:name="_Toc30133"/>
      <w:bookmarkStart w:id="144" w:name="_Toc1657"/>
      <w:r>
        <w:rPr>
          <w:rFonts w:hint="eastAsia"/>
          <w:lang w:val="en-US" w:eastAsia="zh-CN"/>
        </w:rPr>
        <w:t>5</w:t>
      </w:r>
      <w:r>
        <w:t>.2</w:t>
      </w:r>
      <w:r>
        <w:rPr>
          <w:rFonts w:hint="eastAsia"/>
        </w:rPr>
        <w:t>噪声</w:t>
      </w:r>
      <w:bookmarkEnd w:id="133"/>
      <w:bookmarkEnd w:id="134"/>
      <w:bookmarkEnd w:id="135"/>
      <w:bookmarkEnd w:id="136"/>
      <w:bookmarkEnd w:id="137"/>
      <w:bookmarkEnd w:id="138"/>
      <w:bookmarkEnd w:id="139"/>
      <w:bookmarkEnd w:id="140"/>
      <w:bookmarkEnd w:id="141"/>
      <w:bookmarkEnd w:id="142"/>
      <w:bookmarkEnd w:id="143"/>
      <w:bookmarkEnd w:id="144"/>
    </w:p>
    <w:p>
      <w:pPr>
        <w:snapToGrid w:val="0"/>
        <w:ind w:firstLine="480"/>
        <w:rPr>
          <w:rFonts w:hint="eastAsia" w:eastAsia="宋体"/>
          <w:lang w:val="en-US" w:eastAsia="zh-CN"/>
        </w:rPr>
      </w:pPr>
      <w:r>
        <w:rPr>
          <w:rFonts w:hint="eastAsia"/>
          <w:bCs/>
          <w:color w:val="auto"/>
          <w:sz w:val="24"/>
          <w:highlight w:val="none"/>
        </w:rPr>
        <w:t>项目在生产过程中噪声源主要来自于</w:t>
      </w:r>
      <w:r>
        <w:rPr>
          <w:rFonts w:hint="eastAsia"/>
          <w:bCs/>
          <w:color w:val="auto"/>
          <w:sz w:val="24"/>
          <w:highlight w:val="none"/>
          <w:lang w:eastAsia="zh-CN"/>
        </w:rPr>
        <w:t>各</w:t>
      </w:r>
      <w:r>
        <w:rPr>
          <w:rFonts w:hint="eastAsia"/>
          <w:bCs/>
          <w:color w:val="auto"/>
          <w:sz w:val="24"/>
          <w:highlight w:val="none"/>
        </w:rPr>
        <w:t>生产设备</w:t>
      </w:r>
      <w:r>
        <w:rPr>
          <w:rFonts w:hint="eastAsia"/>
          <w:bCs/>
          <w:color w:val="auto"/>
          <w:sz w:val="24"/>
          <w:highlight w:val="none"/>
          <w:lang w:eastAsia="zh-CN"/>
        </w:rPr>
        <w:t>、液压设备、起重机、</w:t>
      </w:r>
      <w:r>
        <w:rPr>
          <w:rFonts w:hint="eastAsia"/>
          <w:bCs/>
          <w:color w:val="auto"/>
          <w:sz w:val="24"/>
          <w:highlight w:val="none"/>
        </w:rPr>
        <w:t>通风排气等设备的运作过程</w:t>
      </w:r>
      <w:r>
        <w:rPr>
          <w:rFonts w:hint="eastAsia"/>
          <w:bCs/>
          <w:color w:val="auto"/>
          <w:sz w:val="24"/>
          <w:highlight w:val="none"/>
          <w:lang w:eastAsia="zh-CN"/>
        </w:rPr>
        <w:t>和车辆进入厂区产生的噪声</w:t>
      </w:r>
      <w:r>
        <w:rPr>
          <w:rFonts w:hint="eastAsia"/>
          <w:bCs/>
          <w:color w:val="auto"/>
          <w:sz w:val="24"/>
          <w:highlight w:val="none"/>
        </w:rPr>
        <w:t>。项目生产过程中</w:t>
      </w:r>
      <w:r>
        <w:rPr>
          <w:rFonts w:hint="eastAsia"/>
          <w:bCs/>
          <w:color w:val="auto"/>
          <w:sz w:val="24"/>
          <w:highlight w:val="none"/>
          <w:lang w:eastAsia="zh-CN"/>
        </w:rPr>
        <w:t>，</w:t>
      </w:r>
      <w:r>
        <w:rPr>
          <w:rFonts w:hint="eastAsia"/>
          <w:bCs/>
          <w:color w:val="auto"/>
          <w:sz w:val="24"/>
          <w:highlight w:val="none"/>
          <w:lang w:val="en-US" w:eastAsia="zh-CN"/>
        </w:rPr>
        <w:t>通过落实减震、安装消音器、加强管理和绿化等</w:t>
      </w:r>
      <w:r>
        <w:rPr>
          <w:rFonts w:hint="eastAsia"/>
          <w:bCs/>
          <w:color w:val="auto"/>
          <w:sz w:val="24"/>
          <w:highlight w:val="none"/>
        </w:rPr>
        <w:t>有效措施减少噪声的影响</w:t>
      </w:r>
      <w:r>
        <w:rPr>
          <w:rFonts w:hint="eastAsia"/>
          <w:bCs/>
          <w:color w:val="auto"/>
          <w:sz w:val="24"/>
          <w:highlight w:val="none"/>
          <w:lang w:eastAsia="zh-CN"/>
        </w:rPr>
        <w:t>。</w:t>
      </w:r>
      <w:r>
        <w:rPr>
          <w:rFonts w:hint="eastAsia"/>
          <w:bCs/>
          <w:color w:val="auto"/>
          <w:sz w:val="24"/>
          <w:highlight w:val="none"/>
        </w:rPr>
        <w:t>营运期厂区边界噪声可达到《工业企业厂界环境噪声排放标准》（GB12348-2008）</w:t>
      </w:r>
      <w:r>
        <w:rPr>
          <w:rFonts w:hint="eastAsia"/>
          <w:bCs/>
          <w:color w:val="auto"/>
          <w:sz w:val="24"/>
          <w:highlight w:val="none"/>
          <w:lang w:val="en-US" w:eastAsia="zh-CN"/>
        </w:rPr>
        <w:t>3</w:t>
      </w:r>
      <w:r>
        <w:rPr>
          <w:rFonts w:hint="eastAsia"/>
          <w:bCs/>
          <w:color w:val="auto"/>
          <w:sz w:val="24"/>
          <w:highlight w:val="none"/>
        </w:rPr>
        <w:t>类区标准的要求</w:t>
      </w:r>
      <w:r>
        <w:rPr>
          <w:rFonts w:hint="eastAsia"/>
          <w:bCs/>
          <w:color w:val="auto"/>
          <w:sz w:val="24"/>
          <w:highlight w:val="none"/>
          <w:lang w:eastAsia="zh-CN"/>
        </w:rPr>
        <w:t>。</w:t>
      </w:r>
    </w:p>
    <w:p>
      <w:pPr>
        <w:pStyle w:val="4"/>
      </w:pPr>
      <w:bookmarkStart w:id="145" w:name="_Toc14373_WPSOffice_Level1"/>
      <w:bookmarkStart w:id="146" w:name="_Toc26998_WPSOffice_Level1"/>
      <w:bookmarkStart w:id="147" w:name="_Toc15904"/>
      <w:bookmarkStart w:id="148" w:name="_Toc16168"/>
      <w:bookmarkStart w:id="149" w:name="_Toc11955"/>
      <w:bookmarkStart w:id="150" w:name="_Toc1418_WPSOffice_Level1"/>
      <w:bookmarkStart w:id="151" w:name="_Toc12598"/>
      <w:bookmarkStart w:id="152" w:name="_Toc14977"/>
      <w:bookmarkStart w:id="153" w:name="_Toc1115"/>
      <w:bookmarkStart w:id="154" w:name="_Toc20015_WPSOffice_Level1"/>
      <w:bookmarkStart w:id="155" w:name="_Toc8107"/>
      <w:bookmarkStart w:id="156" w:name="_Toc1912"/>
      <w:r>
        <w:rPr>
          <w:rFonts w:hint="eastAsia"/>
          <w:lang w:val="en-US" w:eastAsia="zh-CN"/>
        </w:rPr>
        <w:t>5</w:t>
      </w:r>
      <w:r>
        <w:t>.3</w:t>
      </w:r>
      <w:r>
        <w:rPr>
          <w:rFonts w:hint="eastAsia"/>
        </w:rPr>
        <w:t>废气</w:t>
      </w:r>
      <w:bookmarkEnd w:id="145"/>
      <w:bookmarkEnd w:id="146"/>
      <w:bookmarkEnd w:id="147"/>
      <w:bookmarkEnd w:id="148"/>
      <w:bookmarkEnd w:id="149"/>
      <w:bookmarkEnd w:id="150"/>
      <w:bookmarkEnd w:id="151"/>
      <w:bookmarkEnd w:id="152"/>
      <w:bookmarkEnd w:id="153"/>
      <w:bookmarkEnd w:id="154"/>
      <w:bookmarkEnd w:id="155"/>
      <w:bookmarkEnd w:id="156"/>
    </w:p>
    <w:p>
      <w:pPr>
        <w:pStyle w:val="6"/>
        <w:snapToGrid w:val="0"/>
        <w:ind w:firstLine="480"/>
        <w:rPr>
          <w:rFonts w:hint="default" w:ascii="Times New Roman" w:hAnsi="Times New Roman" w:cs="Times New Roman" w:eastAsiaTheme="minorEastAsia"/>
          <w:color w:val="000000"/>
          <w:sz w:val="24"/>
          <w:szCs w:val="24"/>
        </w:rPr>
      </w:pPr>
      <w:r>
        <w:rPr>
          <w:rFonts w:hint="default" w:ascii="Times New Roman" w:hAnsi="Times New Roman" w:cs="Times New Roman"/>
          <w:color w:val="auto"/>
          <w:sz w:val="24"/>
          <w:highlight w:val="none"/>
          <w:lang w:eastAsia="zh-CN"/>
        </w:rPr>
        <w:t>本项目废气主要为补漆过程中产生的少量</w:t>
      </w:r>
      <w:r>
        <w:rPr>
          <w:rFonts w:hint="default" w:ascii="Times New Roman" w:hAnsi="Times New Roman" w:cs="Times New Roman"/>
          <w:color w:val="auto"/>
          <w:sz w:val="24"/>
          <w:highlight w:val="none"/>
          <w:lang w:val="en-US" w:eastAsia="zh-CN"/>
        </w:rPr>
        <w:t>漆雾、</w:t>
      </w:r>
      <w:r>
        <w:rPr>
          <w:rFonts w:hint="default" w:ascii="Times New Roman" w:hAnsi="Times New Roman" w:cs="Times New Roman"/>
          <w:color w:val="auto"/>
          <w:sz w:val="24"/>
          <w:highlight w:val="none"/>
          <w:lang w:eastAsia="zh-CN"/>
        </w:rPr>
        <w:t>有机废气和员工食堂厨房油烟。根据环境影响预测结果，本项目建成后</w:t>
      </w:r>
      <w:r>
        <w:rPr>
          <w:rFonts w:hint="default" w:ascii="Times New Roman" w:hAnsi="Times New Roman" w:cs="Times New Roman"/>
          <w:color w:val="auto"/>
          <w:sz w:val="24"/>
          <w:highlight w:val="none"/>
          <w:lang w:val="en-US" w:eastAsia="zh-CN"/>
        </w:rPr>
        <w:t>补漆废气通过UV光催化净化器和活性炭吸附并加强通风排气后</w:t>
      </w:r>
      <w:r>
        <w:rPr>
          <w:rFonts w:hint="default" w:ascii="Times New Roman" w:hAnsi="Times New Roman" w:cs="Times New Roman"/>
          <w:color w:val="auto"/>
          <w:sz w:val="24"/>
          <w:highlight w:val="none"/>
          <w:lang w:eastAsia="zh-CN"/>
        </w:rPr>
        <w:t>排放量不大，对周围环境敏感点和厂界的污染物浓度贡献值较小，</w:t>
      </w:r>
      <w:r>
        <w:rPr>
          <w:rFonts w:hint="default" w:ascii="Times New Roman" w:hAnsi="Times New Roman" w:cs="Times New Roman"/>
          <w:color w:val="auto"/>
          <w:sz w:val="24"/>
          <w:highlight w:val="none"/>
          <w:lang w:val="en-US" w:eastAsia="zh-CN"/>
        </w:rPr>
        <w:t>漆雾执行</w:t>
      </w:r>
      <w:r>
        <w:rPr>
          <w:rFonts w:hint="default" w:ascii="Times New Roman" w:hAnsi="Times New Roman" w:cs="Times New Roman"/>
          <w:color w:val="auto"/>
          <w:sz w:val="24"/>
          <w:highlight w:val="none"/>
        </w:rPr>
        <w:t>广东省《大气污染物排放限值》（DB44/27-2001）第二时段二级排放标准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有机废气</w:t>
      </w:r>
      <w:r>
        <w:rPr>
          <w:rFonts w:hint="default" w:ascii="Times New Roman" w:hAnsi="Times New Roman" w:cs="Times New Roman"/>
          <w:color w:val="auto"/>
          <w:sz w:val="24"/>
          <w:highlight w:val="none"/>
          <w:lang w:eastAsia="zh-CN"/>
        </w:rPr>
        <w:t>执行广东省地方标准《表面涂装（汽车制造业）挥发性有机化合物排放标准》（</w:t>
      </w:r>
      <w:r>
        <w:rPr>
          <w:rFonts w:hint="default" w:ascii="Times New Roman" w:hAnsi="Times New Roman" w:cs="Times New Roman"/>
          <w:color w:val="auto"/>
          <w:sz w:val="24"/>
          <w:highlight w:val="none"/>
          <w:lang w:val="en-US" w:eastAsia="zh-CN"/>
        </w:rPr>
        <w:t>DB44/816-2010</w:t>
      </w:r>
      <w:r>
        <w:rPr>
          <w:rFonts w:hint="default" w:ascii="Times New Roman" w:hAnsi="Times New Roman" w:cs="Times New Roman"/>
          <w:color w:val="auto"/>
          <w:sz w:val="24"/>
          <w:highlight w:val="none"/>
          <w:lang w:eastAsia="zh-CN"/>
        </w:rPr>
        <w:t>）中第Ⅱ时段</w:t>
      </w:r>
      <w:r>
        <w:rPr>
          <w:rFonts w:hint="eastAsia" w:ascii="Times New Roman" w:hAnsi="Times New Roman" w:cs="Times New Roman"/>
          <w:color w:val="auto"/>
          <w:sz w:val="24"/>
          <w:highlight w:val="none"/>
          <w:lang w:eastAsia="zh-CN"/>
        </w:rPr>
        <w:t>甲苯和二甲苯、</w:t>
      </w:r>
      <w:r>
        <w:rPr>
          <w:rFonts w:hint="default" w:ascii="Times New Roman" w:hAnsi="Times New Roman" w:cs="Times New Roman"/>
          <w:color w:val="auto"/>
          <w:sz w:val="24"/>
          <w:highlight w:val="none"/>
          <w:lang w:val="en-US" w:eastAsia="zh-CN"/>
        </w:rPr>
        <w:t>VOCs</w:t>
      </w:r>
      <w:r>
        <w:rPr>
          <w:rFonts w:hint="default" w:ascii="Times New Roman" w:hAnsi="Times New Roman" w:cs="Times New Roman"/>
          <w:color w:val="auto"/>
          <w:sz w:val="24"/>
          <w:highlight w:val="none"/>
          <w:lang w:eastAsia="zh-CN"/>
        </w:rPr>
        <w:t>排气筒</w:t>
      </w:r>
      <w:r>
        <w:rPr>
          <w:rFonts w:hint="default" w:ascii="Times New Roman" w:hAnsi="Times New Roman" w:cs="Times New Roman"/>
          <w:color w:val="auto"/>
          <w:sz w:val="24"/>
          <w:highlight w:val="none"/>
          <w:lang w:val="en-US" w:eastAsia="zh-CN"/>
        </w:rPr>
        <w:t>排放限值及无组织排放监控点浓度限值</w:t>
      </w:r>
      <w:r>
        <w:rPr>
          <w:rFonts w:hint="eastAsia" w:ascii="Times New Roman" w:hAnsi="Times New Roman" w:cs="Times New Roman"/>
          <w:color w:val="auto"/>
          <w:sz w:val="24"/>
          <w:highlight w:val="none"/>
          <w:lang w:val="en-US" w:eastAsia="zh-CN"/>
        </w:rPr>
        <w:t>（</w:t>
      </w:r>
      <w:r>
        <w:rPr>
          <w:rFonts w:hint="eastAsia" w:ascii="Times New Roman" w:hAnsi="Times New Roman" w:cs="Times New Roman"/>
          <w:sz w:val="24"/>
        </w:rPr>
        <w:t>二甲苯排放符合《大气污染物综合排放标准》（GB16297-</w:t>
      </w:r>
      <w:r>
        <w:rPr>
          <w:rFonts w:ascii="Times New Roman" w:hAnsi="Times New Roman" w:cs="Times New Roman"/>
          <w:sz w:val="24"/>
        </w:rPr>
        <w:t>1996</w:t>
      </w:r>
      <w:r>
        <w:rPr>
          <w:rFonts w:hint="eastAsia" w:ascii="Times New Roman" w:hAnsi="Times New Roman" w:cs="Times New Roman"/>
          <w:sz w:val="24"/>
        </w:rPr>
        <w:t>）中相关排放限值</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eastAsia="zh-CN"/>
        </w:rPr>
        <w:t>；</w:t>
      </w:r>
      <w:r>
        <w:rPr>
          <w:rFonts w:hint="default" w:ascii="Times New Roman" w:hAnsi="Times New Roman" w:cs="Times New Roman"/>
          <w:bCs/>
          <w:color w:val="auto"/>
          <w:sz w:val="24"/>
          <w:highlight w:val="none"/>
        </w:rPr>
        <w:t>厨房油烟废气经油烟净化设施处理达标后，引至所在楼房天面排放（排放高度约为</w:t>
      </w:r>
      <w:r>
        <w:rPr>
          <w:rFonts w:hint="default" w:ascii="Times New Roman" w:hAnsi="Times New Roman" w:cs="Times New Roman"/>
          <w:bCs/>
          <w:color w:val="auto"/>
          <w:sz w:val="24"/>
          <w:highlight w:val="none"/>
          <w:lang w:val="en-US" w:eastAsia="zh-CN"/>
        </w:rPr>
        <w:t>12</w:t>
      </w:r>
      <w:r>
        <w:rPr>
          <w:rFonts w:hint="default" w:ascii="Times New Roman" w:hAnsi="Times New Roman" w:cs="Times New Roman"/>
          <w:bCs/>
          <w:color w:val="auto"/>
          <w:sz w:val="24"/>
          <w:highlight w:val="none"/>
        </w:rPr>
        <w:t>米）。油烟废气排放应符合《饮食业油烟排放标准（试行）》</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GB18483－2001</w:t>
      </w:r>
      <w:r>
        <w:rPr>
          <w:rFonts w:hint="default" w:ascii="Times New Roman" w:hAnsi="Times New Roman" w:cs="Times New Roman"/>
          <w:bCs/>
          <w:color w:val="auto"/>
          <w:sz w:val="24"/>
          <w:highlight w:val="none"/>
          <w:lang w:eastAsia="zh-CN"/>
        </w:rPr>
        <w:t>）中</w:t>
      </w:r>
      <w:r>
        <w:rPr>
          <w:rFonts w:hint="default" w:ascii="Times New Roman" w:hAnsi="Times New Roman" w:cs="Times New Roman"/>
          <w:bCs/>
          <w:color w:val="auto"/>
          <w:sz w:val="24"/>
          <w:highlight w:val="none"/>
        </w:rPr>
        <w:t>型规模标准要求。</w:t>
      </w:r>
    </w:p>
    <w:p>
      <w:pPr>
        <w:pStyle w:val="4"/>
      </w:pPr>
      <w:bookmarkStart w:id="157" w:name="_Toc17225_WPSOffice_Level1"/>
      <w:bookmarkStart w:id="158" w:name="_Toc23078"/>
      <w:bookmarkStart w:id="159" w:name="_Toc22380"/>
      <w:bookmarkStart w:id="160" w:name="_Toc1978"/>
      <w:bookmarkStart w:id="161" w:name="_Toc16649_WPSOffice_Level1"/>
      <w:bookmarkStart w:id="162" w:name="_Toc22961"/>
      <w:bookmarkStart w:id="163" w:name="_Toc10167_WPSOffice_Level1"/>
      <w:bookmarkStart w:id="164" w:name="_Toc11583"/>
      <w:bookmarkStart w:id="165" w:name="_Toc15760"/>
      <w:bookmarkStart w:id="166" w:name="_Toc4854_WPSOffice_Level1"/>
      <w:bookmarkStart w:id="167" w:name="_Toc29935"/>
      <w:bookmarkStart w:id="168" w:name="_Toc11636"/>
      <w:r>
        <w:rPr>
          <w:rFonts w:hint="eastAsia"/>
          <w:lang w:val="en-US" w:eastAsia="zh-CN"/>
        </w:rPr>
        <w:t>5</w:t>
      </w:r>
      <w:r>
        <w:t>.4</w:t>
      </w:r>
      <w:r>
        <w:rPr>
          <w:rFonts w:hint="eastAsia"/>
        </w:rPr>
        <w:t>固体废物</w:t>
      </w:r>
      <w:bookmarkEnd w:id="157"/>
      <w:bookmarkEnd w:id="158"/>
      <w:bookmarkEnd w:id="159"/>
      <w:bookmarkEnd w:id="160"/>
      <w:bookmarkEnd w:id="161"/>
      <w:bookmarkEnd w:id="162"/>
      <w:bookmarkEnd w:id="163"/>
      <w:bookmarkEnd w:id="164"/>
      <w:bookmarkEnd w:id="165"/>
      <w:bookmarkEnd w:id="166"/>
      <w:bookmarkEnd w:id="167"/>
      <w:bookmarkEnd w:id="168"/>
    </w:p>
    <w:p>
      <w:pPr>
        <w:pStyle w:val="2"/>
        <w:spacing w:line="360" w:lineRule="auto"/>
        <w:ind w:firstLine="480" w:firstLineChars="200"/>
        <w:jc w:val="both"/>
        <w:rPr>
          <w:rFonts w:hint="eastAsia" w:ascii="Times New Roman" w:hAnsi="Times New Roman" w:eastAsia="宋体"/>
          <w:bCs/>
          <w:lang w:val="en-US" w:eastAsia="zh-CN"/>
        </w:rPr>
      </w:pPr>
      <w:r>
        <w:rPr>
          <w:rFonts w:hint="eastAsia"/>
          <w:bCs/>
          <w:color w:val="auto"/>
          <w:sz w:val="24"/>
          <w:highlight w:val="none"/>
        </w:rPr>
        <w:t>项目营运期间产生的固体废弃物包括生活垃圾、一般工业固废和危险固废。</w:t>
      </w:r>
      <w:r>
        <w:rPr>
          <w:rFonts w:hint="eastAsia"/>
          <w:bCs/>
          <w:color w:val="auto"/>
          <w:sz w:val="24"/>
          <w:highlight w:val="none"/>
          <w:lang w:val="en-US" w:eastAsia="zh-CN"/>
        </w:rPr>
        <w:t>生活垃圾</w:t>
      </w:r>
      <w:r>
        <w:rPr>
          <w:rFonts w:hint="eastAsia"/>
          <w:color w:val="auto"/>
          <w:sz w:val="24"/>
          <w:highlight w:val="none"/>
        </w:rPr>
        <w:t>由环卫部门进行清理</w:t>
      </w:r>
      <w:r>
        <w:rPr>
          <w:rFonts w:hint="eastAsia"/>
          <w:color w:val="auto"/>
          <w:sz w:val="24"/>
          <w:highlight w:val="none"/>
          <w:lang w:eastAsia="zh-CN"/>
        </w:rPr>
        <w:t>；</w:t>
      </w:r>
      <w:r>
        <w:rPr>
          <w:rFonts w:hint="eastAsia"/>
          <w:bCs/>
          <w:color w:val="auto"/>
          <w:sz w:val="24"/>
          <w:highlight w:val="none"/>
          <w:lang w:val="en-US" w:eastAsia="zh-CN"/>
        </w:rPr>
        <w:t>一般工业固废外售给废品回收站综合利用；</w:t>
      </w:r>
      <w:r>
        <w:rPr>
          <w:rFonts w:hint="eastAsia"/>
          <w:bCs/>
          <w:color w:val="auto"/>
          <w:sz w:val="24"/>
          <w:highlight w:val="none"/>
          <w:lang w:eastAsia="zh-CN"/>
        </w:rPr>
        <w:t>危险废物包括废油漆桶、废机油桶和废气处理设施产生的废活性炭，</w:t>
      </w:r>
      <w:r>
        <w:rPr>
          <w:rFonts w:hint="eastAsia"/>
          <w:color w:val="auto"/>
          <w:sz w:val="24"/>
          <w:highlight w:val="none"/>
        </w:rPr>
        <w:t>收集后委托有资质的单位处理</w:t>
      </w:r>
      <w:r>
        <w:rPr>
          <w:rFonts w:hint="eastAsia"/>
          <w:color w:val="auto"/>
          <w:sz w:val="24"/>
          <w:highlight w:val="none"/>
          <w:lang w:eastAsia="zh-CN"/>
        </w:rPr>
        <w:t>。</w:t>
      </w:r>
    </w:p>
    <w:p>
      <w:pPr>
        <w:pStyle w:val="4"/>
        <w:rPr>
          <w:rFonts w:hint="default" w:ascii="Times New Roman" w:hAnsi="Times New Roman" w:cs="Times New Roman"/>
        </w:rPr>
      </w:pPr>
      <w:bookmarkStart w:id="169" w:name="_Toc15509"/>
      <w:bookmarkStart w:id="170" w:name="_Toc3775_WPSOffice_Level1"/>
      <w:bookmarkStart w:id="171" w:name="_Toc23721_WPSOffice_Level1"/>
      <w:bookmarkStart w:id="172" w:name="_Toc26598"/>
      <w:bookmarkStart w:id="173" w:name="_Toc14009_WPSOffice_Level1"/>
      <w:bookmarkStart w:id="174" w:name="_Toc21705"/>
      <w:r>
        <w:rPr>
          <w:rFonts w:hint="default" w:ascii="Times New Roman" w:hAnsi="Times New Roman" w:cs="Times New Roman"/>
          <w:lang w:val="en-US" w:eastAsia="zh-CN"/>
        </w:rPr>
        <w:t>5</w:t>
      </w:r>
      <w:r>
        <w:rPr>
          <w:rFonts w:hint="default" w:ascii="Times New Roman" w:hAnsi="Times New Roman" w:cs="Times New Roman"/>
        </w:rPr>
        <w:t>.5总量控制指标</w:t>
      </w:r>
      <w:bookmarkEnd w:id="169"/>
      <w:bookmarkEnd w:id="170"/>
      <w:bookmarkEnd w:id="171"/>
      <w:bookmarkEnd w:id="172"/>
      <w:bookmarkEnd w:id="173"/>
      <w:bookmarkEnd w:id="174"/>
    </w:p>
    <w:p>
      <w:pPr>
        <w:pStyle w:val="27"/>
        <w:snapToGrid w:val="0"/>
        <w:ind w:firstLine="480" w:firstLineChars="200"/>
        <w:rPr>
          <w:rFonts w:hint="default" w:ascii="Times New Roman" w:hAnsi="Times New Roman" w:eastAsia="宋体" w:cs="Times New Roman"/>
          <w:sz w:val="24"/>
          <w:szCs w:val="24"/>
          <w:lang w:val="en-US" w:eastAsia="zh-CN"/>
        </w:rPr>
      </w:pPr>
      <w:r>
        <w:rPr>
          <w:rFonts w:ascii="Times New Roman"/>
        </w:rPr>
        <w:t>本项目产生的大气污染物主要为VOCs，产生量少，经处理后能达标排放。环境影响评价报告中推荐申请排放VOCs的废气总量22088万m</w:t>
      </w:r>
      <w:r>
        <w:rPr>
          <w:rFonts w:ascii="Times New Roman"/>
          <w:vertAlign w:val="superscript"/>
        </w:rPr>
        <w:t>3</w:t>
      </w:r>
      <w:r>
        <w:rPr>
          <w:rFonts w:ascii="Times New Roman"/>
        </w:rPr>
        <w:t>/a，</w:t>
      </w:r>
      <w:r>
        <w:rPr>
          <w:rFonts w:hint="eastAsia" w:ascii="Times New Roman"/>
        </w:rPr>
        <w:t>对应</w:t>
      </w:r>
      <w:r>
        <w:rPr>
          <w:rFonts w:ascii="Times New Roman"/>
        </w:rPr>
        <w:t>大气污染物VOCs</w:t>
      </w:r>
      <w:r>
        <w:rPr>
          <w:rFonts w:hint="eastAsia" w:ascii="Times New Roman"/>
        </w:rPr>
        <w:t>排放</w:t>
      </w:r>
      <w:r>
        <w:rPr>
          <w:rFonts w:ascii="Times New Roman"/>
        </w:rPr>
        <w:t>（</w:t>
      </w:r>
      <w:r>
        <w:rPr>
          <w:rFonts w:hint="eastAsia" w:ascii="Times New Roman"/>
        </w:rPr>
        <w:t>以</w:t>
      </w:r>
      <w:r>
        <w:rPr>
          <w:rFonts w:ascii="Times New Roman"/>
        </w:rPr>
        <w:t>最高允许排放速率3.44kg/h</w:t>
      </w:r>
      <w:r>
        <w:rPr>
          <w:rFonts w:hint="eastAsia" w:ascii="Times New Roman"/>
        </w:rPr>
        <w:t>推算</w:t>
      </w:r>
      <w:r>
        <w:rPr>
          <w:rFonts w:ascii="Times New Roman"/>
        </w:rPr>
        <w:t>）总量</w:t>
      </w:r>
      <w:r>
        <w:rPr>
          <w:rFonts w:hint="eastAsia" w:ascii="Times New Roman"/>
        </w:rPr>
        <w:t>为</w:t>
      </w:r>
      <w:r>
        <w:rPr>
          <w:rFonts w:ascii="Times New Roman"/>
        </w:rPr>
        <w:t>13.815t/a。项目原计划年组装180套4~10MW系列风力发电机组，现状</w:t>
      </w:r>
      <w:r>
        <w:rPr>
          <w:rFonts w:hint="eastAsia" w:ascii="Times New Roman"/>
        </w:rPr>
        <w:t>监测</w:t>
      </w:r>
      <w:r>
        <w:rPr>
          <w:rFonts w:ascii="Times New Roman"/>
        </w:rPr>
        <w:t>工况为年组装约70套风力发电机组</w:t>
      </w:r>
      <w:r>
        <w:rPr>
          <w:rFonts w:hint="eastAsia" w:ascii="Times New Roman"/>
        </w:rPr>
        <w:t>，约占计划工况40%。项目以本次验收监测工况（约40%）计算，其VOCs排放总量为0.0897t/a（废气排放量为1107.407万m</w:t>
      </w:r>
      <w:r>
        <w:rPr>
          <w:rFonts w:hint="eastAsia" w:ascii="Times New Roman"/>
          <w:vertAlign w:val="superscript"/>
        </w:rPr>
        <w:t>3</w:t>
      </w:r>
      <w:r>
        <w:rPr>
          <w:rFonts w:hint="eastAsia" w:ascii="Times New Roman"/>
        </w:rPr>
        <w:t>/a），如果按100%产能测算，其VOCs排放总量为0.23t/a（废气排放量约为2768.52万m</w:t>
      </w:r>
      <w:r>
        <w:rPr>
          <w:rFonts w:hint="eastAsia" w:ascii="Times New Roman"/>
          <w:vertAlign w:val="superscript"/>
        </w:rPr>
        <w:t>3</w:t>
      </w:r>
      <w:r>
        <w:rPr>
          <w:rFonts w:hint="eastAsia" w:ascii="Times New Roman"/>
        </w:rPr>
        <w:t>/a）。由于环评推荐总量是以最高允许排放速率推算得出，所以数值较大，而项目补漆工艺实际使用油漆量较少，导致VOCs实际排放总量比环评推荐总量小得多。</w:t>
      </w:r>
    </w:p>
    <w:p>
      <w:pPr>
        <w:pStyle w:val="3"/>
      </w:pPr>
      <w:bookmarkStart w:id="175" w:name="_Toc11793_WPSOffice_Level1"/>
      <w:bookmarkStart w:id="176" w:name="_Toc28571_WPSOffice_Level1"/>
      <w:bookmarkStart w:id="177" w:name="_Toc20076_WPSOffice_Level1"/>
      <w:bookmarkStart w:id="178" w:name="_Toc24297_WPSOffice_Level1"/>
      <w:bookmarkStart w:id="179" w:name="_Toc30854_WPSOffice_Level1"/>
      <w:bookmarkStart w:id="180" w:name="_Toc8140"/>
      <w:bookmarkStart w:id="181" w:name="_Toc12272"/>
      <w:bookmarkStart w:id="182" w:name="_Toc5723"/>
      <w:r>
        <w:rPr>
          <w:rFonts w:hint="eastAsia"/>
          <w:lang w:val="en-US" w:eastAsia="zh-CN"/>
        </w:rPr>
        <w:t>6、</w:t>
      </w:r>
      <w:r>
        <w:rPr>
          <w:rFonts w:hint="eastAsia"/>
        </w:rPr>
        <w:t>环保投资</w:t>
      </w:r>
      <w:bookmarkEnd w:id="175"/>
      <w:bookmarkEnd w:id="176"/>
      <w:bookmarkEnd w:id="177"/>
      <w:bookmarkEnd w:id="178"/>
      <w:bookmarkEnd w:id="179"/>
      <w:bookmarkEnd w:id="180"/>
      <w:bookmarkEnd w:id="181"/>
      <w:bookmarkEnd w:id="182"/>
    </w:p>
    <w:p>
      <w:pPr>
        <w:bidi w:val="0"/>
        <w:rPr>
          <w:rFonts w:hint="eastAsia"/>
          <w:lang w:val="en-US" w:eastAsia="zh-CN"/>
        </w:rPr>
      </w:pPr>
      <w:r>
        <w:rPr>
          <w:rFonts w:hint="default"/>
        </w:rPr>
        <w:t>本项目投资总额</w:t>
      </w:r>
      <w:r>
        <w:rPr>
          <w:rFonts w:hint="eastAsia"/>
          <w:lang w:eastAsia="zh-CN"/>
        </w:rPr>
        <w:t>为</w:t>
      </w:r>
      <w:r>
        <w:rPr>
          <w:rFonts w:hint="default"/>
        </w:rPr>
        <w:t>50461万元（其中：建设投资49733万元，建设期利息728万元）。</w:t>
      </w:r>
      <w:r>
        <w:rPr>
          <w:rFonts w:hint="eastAsia"/>
          <w:lang w:eastAsia="zh-CN"/>
        </w:rPr>
        <w:t>其中</w:t>
      </w:r>
      <w:r>
        <w:rPr>
          <w:rFonts w:hint="default"/>
        </w:rPr>
        <w:t>环保投资约</w:t>
      </w:r>
      <w:r>
        <w:rPr>
          <w:rFonts w:hint="eastAsia"/>
          <w:lang w:val="en-US" w:eastAsia="zh-CN"/>
        </w:rPr>
        <w:t>65</w:t>
      </w:r>
      <w:r>
        <w:rPr>
          <w:rFonts w:hint="default"/>
          <w:lang w:val="en-US" w:eastAsia="zh-CN"/>
        </w:rPr>
        <w:t>万</w:t>
      </w:r>
      <w:r>
        <w:rPr>
          <w:rFonts w:hint="default"/>
          <w:lang w:eastAsia="zh-CN"/>
        </w:rPr>
        <w:t>元</w:t>
      </w:r>
      <w:r>
        <w:rPr>
          <w:rFonts w:hint="default"/>
        </w:rPr>
        <w:t>：污水处理费用约</w:t>
      </w:r>
      <w:r>
        <w:rPr>
          <w:rFonts w:hint="eastAsia"/>
          <w:lang w:val="en-US" w:eastAsia="zh-CN"/>
        </w:rPr>
        <w:t>10</w:t>
      </w:r>
      <w:r>
        <w:rPr>
          <w:rFonts w:hint="default"/>
        </w:rPr>
        <w:t>万</w:t>
      </w:r>
      <w:r>
        <w:rPr>
          <w:rFonts w:hint="default"/>
          <w:lang w:eastAsia="zh-CN"/>
        </w:rPr>
        <w:t>元</w:t>
      </w:r>
      <w:r>
        <w:rPr>
          <w:rFonts w:hint="default"/>
        </w:rPr>
        <w:t>，通风排气处理费用约为</w:t>
      </w:r>
      <w:r>
        <w:rPr>
          <w:rFonts w:hint="eastAsia"/>
          <w:lang w:val="en-US" w:eastAsia="zh-CN"/>
        </w:rPr>
        <w:t>30</w:t>
      </w:r>
      <w:r>
        <w:rPr>
          <w:rFonts w:hint="default"/>
        </w:rPr>
        <w:t>万</w:t>
      </w:r>
      <w:r>
        <w:rPr>
          <w:rFonts w:hint="default"/>
          <w:lang w:eastAsia="zh-CN"/>
        </w:rPr>
        <w:t>元</w:t>
      </w:r>
      <w:r>
        <w:rPr>
          <w:rFonts w:hint="default"/>
        </w:rPr>
        <w:t>，噪声治理费用约为</w:t>
      </w:r>
      <w:r>
        <w:rPr>
          <w:rFonts w:hint="eastAsia"/>
          <w:lang w:val="en-US" w:eastAsia="zh-CN"/>
        </w:rPr>
        <w:t>20</w:t>
      </w:r>
      <w:r>
        <w:rPr>
          <w:rFonts w:hint="default"/>
        </w:rPr>
        <w:t>万</w:t>
      </w:r>
      <w:r>
        <w:rPr>
          <w:rFonts w:hint="default"/>
          <w:lang w:eastAsia="zh-CN"/>
        </w:rPr>
        <w:t>元</w:t>
      </w:r>
      <w:r>
        <w:rPr>
          <w:rFonts w:hint="default"/>
        </w:rPr>
        <w:t>，固体废物处理费用约为</w:t>
      </w:r>
      <w:r>
        <w:rPr>
          <w:rFonts w:hint="eastAsia"/>
          <w:lang w:val="en-US" w:eastAsia="zh-CN"/>
        </w:rPr>
        <w:t>5</w:t>
      </w:r>
      <w:r>
        <w:rPr>
          <w:rFonts w:hint="default"/>
        </w:rPr>
        <w:t>万</w:t>
      </w:r>
      <w:r>
        <w:rPr>
          <w:rFonts w:hint="default"/>
          <w:lang w:eastAsia="zh-CN"/>
        </w:rPr>
        <w:t>元</w:t>
      </w:r>
      <w:r>
        <w:rPr>
          <w:rFonts w:hint="default"/>
        </w:rPr>
        <w:t>。</w:t>
      </w:r>
      <w:r>
        <w:rPr>
          <w:rFonts w:hint="eastAsia"/>
          <w:lang w:val="en-US" w:eastAsia="zh-CN"/>
        </w:rPr>
        <w:t>详见下表6-1：</w:t>
      </w:r>
    </w:p>
    <w:p>
      <w:pPr>
        <w:pStyle w:val="2"/>
        <w:spacing w:line="360" w:lineRule="auto"/>
        <w:jc w:val="center"/>
        <w:rPr>
          <w:rFonts w:hint="eastAsia" w:ascii="Times New Roman" w:hAnsi="Times New Roman" w:eastAsia="黑体" w:cs="Times New Roman"/>
          <w:color w:val="auto"/>
          <w:szCs w:val="21"/>
          <w:highlight w:val="none"/>
          <w:lang w:val="en-US" w:eastAsia="zh-CN"/>
        </w:rPr>
      </w:pPr>
      <w:r>
        <w:rPr>
          <w:rFonts w:hint="eastAsia" w:ascii="黑体" w:hAnsi="黑体" w:eastAsia="黑体" w:cs="黑体"/>
          <w:color w:val="auto"/>
          <w:szCs w:val="21"/>
          <w:highlight w:val="none"/>
        </w:rPr>
        <w:t>表</w:t>
      </w:r>
      <w:r>
        <w:rPr>
          <w:rFonts w:hint="eastAsia" w:ascii="黑体" w:hAnsi="黑体" w:eastAsia="黑体" w:cs="黑体"/>
          <w:color w:val="auto"/>
          <w:szCs w:val="21"/>
          <w:highlight w:val="none"/>
          <w:lang w:val="en-US" w:eastAsia="zh-CN"/>
        </w:rPr>
        <w:t>6</w:t>
      </w:r>
      <w:r>
        <w:rPr>
          <w:rFonts w:hint="eastAsia" w:ascii="黑体" w:hAnsi="黑体" w:eastAsia="黑体" w:cs="黑体"/>
          <w:color w:val="auto"/>
          <w:szCs w:val="21"/>
          <w:highlight w:val="none"/>
        </w:rPr>
        <w:t>-1 项目环保投资</w:t>
      </w:r>
      <w:r>
        <w:rPr>
          <w:rFonts w:hint="eastAsia" w:eastAsia="黑体" w:cs="黑体"/>
          <w:color w:val="auto"/>
          <w:szCs w:val="21"/>
          <w:highlight w:val="none"/>
          <w:lang w:val="en-US" w:eastAsia="zh-CN"/>
        </w:rPr>
        <w:t>一览表</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
      <w:tblGrid>
        <w:gridCol w:w="1021"/>
        <w:gridCol w:w="1717"/>
        <w:gridCol w:w="5070"/>
        <w:gridCol w:w="191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13" w:hRule="atLeast"/>
          <w:tblHeader/>
          <w:jc w:val="center"/>
        </w:trPr>
        <w:tc>
          <w:tcPr>
            <w:tcW w:w="2738" w:type="dxa"/>
            <w:gridSpan w:val="2"/>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项目</w:t>
            </w:r>
          </w:p>
        </w:tc>
        <w:tc>
          <w:tcPr>
            <w:tcW w:w="5070" w:type="dxa"/>
            <w:tcBorders>
              <w:right w:val="single" w:color="auto" w:sz="4" w:space="0"/>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内容</w:t>
            </w:r>
          </w:p>
        </w:tc>
        <w:tc>
          <w:tcPr>
            <w:tcW w:w="1914" w:type="dxa"/>
            <w:tcBorders>
              <w:left w:val="single" w:color="auto" w:sz="4" w:space="0"/>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投资（万元）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13" w:hRule="atLeast"/>
          <w:jc w:val="center"/>
        </w:trPr>
        <w:tc>
          <w:tcPr>
            <w:tcW w:w="1021" w:type="dxa"/>
            <w:vMerge w:val="restart"/>
            <w:tcBorders>
              <w:right w:val="single" w:color="auto" w:sz="4" w:space="0"/>
            </w:tcBorders>
            <w:noWrap w:val="0"/>
            <w:vAlign w:val="center"/>
          </w:tcPr>
          <w:p>
            <w:pPr>
              <w:bidi w:val="0"/>
              <w:spacing w:line="240" w:lineRule="auto"/>
              <w:ind w:left="0" w:leftChars="0" w:firstLine="0" w:firstLineChars="0"/>
              <w:jc w:val="center"/>
              <w:rPr>
                <w:rFonts w:hint="eastAsia"/>
                <w:sz w:val="21"/>
                <w:szCs w:val="21"/>
                <w:lang w:eastAsia="zh-CN"/>
              </w:rPr>
            </w:pPr>
            <w:r>
              <w:rPr>
                <w:rFonts w:hint="eastAsia"/>
                <w:sz w:val="21"/>
                <w:szCs w:val="21"/>
                <w:lang w:eastAsia="zh-CN"/>
              </w:rPr>
              <w:t>施工期</w:t>
            </w:r>
          </w:p>
        </w:tc>
        <w:tc>
          <w:tcPr>
            <w:tcW w:w="1717" w:type="dxa"/>
            <w:tcBorders>
              <w:left w:val="single" w:color="auto" w:sz="4" w:space="0"/>
              <w:bottom w:val="single" w:color="auto" w:sz="4" w:space="0"/>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废气治理</w:t>
            </w:r>
          </w:p>
        </w:tc>
        <w:tc>
          <w:tcPr>
            <w:tcW w:w="5070" w:type="dxa"/>
            <w:tcBorders>
              <w:right w:val="single" w:color="auto" w:sz="4" w:space="0"/>
            </w:tcBorders>
            <w:noWrap w:val="0"/>
            <w:vAlign w:val="center"/>
          </w:tcPr>
          <w:p>
            <w:pPr>
              <w:bidi w:val="0"/>
              <w:spacing w:line="240" w:lineRule="auto"/>
              <w:ind w:left="0" w:leftChars="0" w:firstLine="0" w:firstLineChars="0"/>
              <w:jc w:val="center"/>
              <w:rPr>
                <w:rFonts w:hint="eastAsia"/>
                <w:sz w:val="21"/>
                <w:szCs w:val="21"/>
                <w:lang w:eastAsia="zh-CN"/>
              </w:rPr>
            </w:pPr>
            <w:r>
              <w:rPr>
                <w:rFonts w:hint="eastAsia"/>
                <w:sz w:val="21"/>
                <w:szCs w:val="21"/>
              </w:rPr>
              <w:t>建隔离墙、物料覆盖、施工场地出口设置浅水池、安装冲洗运输车辆车轮冲洗装置</w:t>
            </w:r>
          </w:p>
        </w:tc>
        <w:tc>
          <w:tcPr>
            <w:tcW w:w="1914" w:type="dxa"/>
            <w:vMerge w:val="restart"/>
            <w:tcBorders>
              <w:left w:val="single" w:color="auto" w:sz="4" w:space="0"/>
            </w:tcBorders>
            <w:noWrap w:val="0"/>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13" w:hRule="atLeast"/>
          <w:jc w:val="center"/>
        </w:trPr>
        <w:tc>
          <w:tcPr>
            <w:tcW w:w="1021" w:type="dxa"/>
            <w:vMerge w:val="continue"/>
            <w:tcBorders>
              <w:right w:val="single" w:color="auto" w:sz="4" w:space="0"/>
            </w:tcBorders>
            <w:noWrap w:val="0"/>
            <w:vAlign w:val="center"/>
          </w:tcPr>
          <w:p>
            <w:pPr>
              <w:bidi w:val="0"/>
              <w:spacing w:line="240" w:lineRule="auto"/>
              <w:ind w:left="0" w:leftChars="0" w:firstLine="0" w:firstLineChars="0"/>
              <w:jc w:val="center"/>
              <w:rPr>
                <w:rFonts w:hint="eastAsia"/>
                <w:sz w:val="21"/>
                <w:szCs w:val="21"/>
              </w:rPr>
            </w:pPr>
          </w:p>
        </w:tc>
        <w:tc>
          <w:tcPr>
            <w:tcW w:w="1717" w:type="dxa"/>
            <w:tcBorders>
              <w:left w:val="single" w:color="auto" w:sz="4" w:space="0"/>
              <w:bottom w:val="single" w:color="auto" w:sz="4" w:space="0"/>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废水治理</w:t>
            </w:r>
          </w:p>
        </w:tc>
        <w:tc>
          <w:tcPr>
            <w:tcW w:w="5070" w:type="dxa"/>
            <w:tcBorders>
              <w:right w:val="single" w:color="auto" w:sz="4" w:space="0"/>
            </w:tcBorders>
            <w:noWrap w:val="0"/>
            <w:vAlign w:val="center"/>
          </w:tcPr>
          <w:p>
            <w:pPr>
              <w:bidi w:val="0"/>
              <w:spacing w:line="240" w:lineRule="auto"/>
              <w:ind w:left="0" w:leftChars="0" w:firstLine="0" w:firstLineChars="0"/>
              <w:jc w:val="center"/>
              <w:rPr>
                <w:rFonts w:hint="eastAsia"/>
                <w:sz w:val="21"/>
                <w:szCs w:val="21"/>
                <w:lang w:eastAsia="zh-CN"/>
              </w:rPr>
            </w:pPr>
            <w:r>
              <w:rPr>
                <w:rFonts w:hint="eastAsia"/>
                <w:sz w:val="21"/>
                <w:szCs w:val="21"/>
              </w:rPr>
              <w:t>建沉淀池、隔油池</w:t>
            </w:r>
            <w:r>
              <w:rPr>
                <w:rFonts w:hint="eastAsia"/>
                <w:sz w:val="21"/>
                <w:szCs w:val="21"/>
                <w:lang w:eastAsia="zh-CN"/>
              </w:rPr>
              <w:t>和三级化粪池</w:t>
            </w:r>
          </w:p>
        </w:tc>
        <w:tc>
          <w:tcPr>
            <w:tcW w:w="1914" w:type="dxa"/>
            <w:vMerge w:val="continue"/>
            <w:tcBorders>
              <w:left w:val="single" w:color="auto" w:sz="4" w:space="0"/>
            </w:tcBorders>
            <w:noWrap w:val="0"/>
            <w:vAlign w:val="center"/>
          </w:tcPr>
          <w:p>
            <w:pPr>
              <w:bidi w:val="0"/>
              <w:spacing w:line="240" w:lineRule="auto"/>
              <w:ind w:left="0" w:leftChars="0" w:firstLine="0" w:firstLineChars="0"/>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13" w:hRule="atLeast"/>
          <w:jc w:val="center"/>
        </w:trPr>
        <w:tc>
          <w:tcPr>
            <w:tcW w:w="1021" w:type="dxa"/>
            <w:vMerge w:val="continue"/>
            <w:tcBorders>
              <w:right w:val="single" w:color="auto" w:sz="4" w:space="0"/>
            </w:tcBorders>
            <w:noWrap w:val="0"/>
            <w:vAlign w:val="center"/>
          </w:tcPr>
          <w:p>
            <w:pPr>
              <w:bidi w:val="0"/>
              <w:spacing w:line="240" w:lineRule="auto"/>
              <w:ind w:left="0" w:leftChars="0" w:firstLine="0" w:firstLineChars="0"/>
              <w:jc w:val="center"/>
              <w:rPr>
                <w:rFonts w:hint="eastAsia"/>
                <w:sz w:val="21"/>
                <w:szCs w:val="21"/>
              </w:rPr>
            </w:pPr>
          </w:p>
        </w:tc>
        <w:tc>
          <w:tcPr>
            <w:tcW w:w="1717" w:type="dxa"/>
            <w:tcBorders>
              <w:left w:val="single" w:color="auto" w:sz="4" w:space="0"/>
              <w:bottom w:val="single" w:color="auto" w:sz="4" w:space="0"/>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噪声治理</w:t>
            </w:r>
          </w:p>
        </w:tc>
        <w:tc>
          <w:tcPr>
            <w:tcW w:w="5070" w:type="dxa"/>
            <w:tcBorders>
              <w:right w:val="single" w:color="auto" w:sz="4" w:space="0"/>
            </w:tcBorders>
            <w:noWrap w:val="0"/>
            <w:vAlign w:val="center"/>
          </w:tcPr>
          <w:p>
            <w:pPr>
              <w:bidi w:val="0"/>
              <w:spacing w:line="240" w:lineRule="auto"/>
              <w:ind w:left="0" w:leftChars="0" w:firstLine="0" w:firstLineChars="0"/>
              <w:jc w:val="center"/>
              <w:rPr>
                <w:rFonts w:hint="eastAsia"/>
                <w:sz w:val="21"/>
                <w:szCs w:val="21"/>
                <w:lang w:eastAsia="zh-CN"/>
              </w:rPr>
            </w:pPr>
            <w:r>
              <w:rPr>
                <w:rFonts w:hint="eastAsia"/>
                <w:sz w:val="21"/>
                <w:szCs w:val="21"/>
              </w:rPr>
              <w:t>设置临时隔声屏障，施工机械配套减振、消声等设施</w:t>
            </w:r>
          </w:p>
        </w:tc>
        <w:tc>
          <w:tcPr>
            <w:tcW w:w="1914" w:type="dxa"/>
            <w:vMerge w:val="continue"/>
            <w:tcBorders>
              <w:left w:val="single" w:color="auto" w:sz="4" w:space="0"/>
            </w:tcBorders>
            <w:noWrap w:val="0"/>
            <w:vAlign w:val="center"/>
          </w:tcPr>
          <w:p>
            <w:pPr>
              <w:bidi w:val="0"/>
              <w:spacing w:line="240" w:lineRule="auto"/>
              <w:ind w:left="0" w:leftChars="0" w:firstLine="0" w:firstLineChars="0"/>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13" w:hRule="atLeast"/>
          <w:jc w:val="center"/>
        </w:trPr>
        <w:tc>
          <w:tcPr>
            <w:tcW w:w="1021" w:type="dxa"/>
            <w:vMerge w:val="continue"/>
            <w:tcBorders>
              <w:right w:val="single" w:color="auto" w:sz="4" w:space="0"/>
            </w:tcBorders>
            <w:noWrap w:val="0"/>
            <w:vAlign w:val="center"/>
          </w:tcPr>
          <w:p>
            <w:pPr>
              <w:bidi w:val="0"/>
              <w:spacing w:line="240" w:lineRule="auto"/>
              <w:ind w:left="0" w:leftChars="0" w:firstLine="0" w:firstLineChars="0"/>
              <w:jc w:val="center"/>
              <w:rPr>
                <w:rFonts w:hint="eastAsia"/>
                <w:sz w:val="21"/>
                <w:szCs w:val="21"/>
              </w:rPr>
            </w:pPr>
          </w:p>
        </w:tc>
        <w:tc>
          <w:tcPr>
            <w:tcW w:w="1717" w:type="dxa"/>
            <w:tcBorders>
              <w:left w:val="single" w:color="auto" w:sz="4" w:space="0"/>
              <w:bottom w:val="single" w:color="auto" w:sz="4" w:space="0"/>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固体废物治理</w:t>
            </w:r>
          </w:p>
        </w:tc>
        <w:tc>
          <w:tcPr>
            <w:tcW w:w="5070" w:type="dxa"/>
            <w:tcBorders>
              <w:right w:val="single" w:color="auto" w:sz="4" w:space="0"/>
            </w:tcBorders>
            <w:noWrap w:val="0"/>
            <w:vAlign w:val="center"/>
          </w:tcPr>
          <w:p>
            <w:pPr>
              <w:bidi w:val="0"/>
              <w:spacing w:line="240" w:lineRule="auto"/>
              <w:ind w:left="0" w:leftChars="0" w:firstLine="0" w:firstLineChars="0"/>
              <w:jc w:val="center"/>
              <w:rPr>
                <w:rFonts w:hint="eastAsia"/>
                <w:sz w:val="21"/>
                <w:szCs w:val="21"/>
                <w:lang w:eastAsia="zh-CN"/>
              </w:rPr>
            </w:pPr>
            <w:r>
              <w:rPr>
                <w:rFonts w:hint="eastAsia"/>
                <w:sz w:val="21"/>
                <w:szCs w:val="21"/>
              </w:rPr>
              <w:t>建筑垃圾、施工人员生活垃圾收集、清运</w:t>
            </w:r>
          </w:p>
        </w:tc>
        <w:tc>
          <w:tcPr>
            <w:tcW w:w="1914" w:type="dxa"/>
            <w:vMerge w:val="continue"/>
            <w:tcBorders>
              <w:left w:val="single" w:color="auto" w:sz="4" w:space="0"/>
            </w:tcBorders>
            <w:noWrap w:val="0"/>
            <w:vAlign w:val="center"/>
          </w:tcPr>
          <w:p>
            <w:pPr>
              <w:bidi w:val="0"/>
              <w:spacing w:line="240" w:lineRule="auto"/>
              <w:ind w:left="0" w:leftChars="0" w:firstLine="0" w:firstLineChars="0"/>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13" w:hRule="atLeast"/>
          <w:jc w:val="center"/>
        </w:trPr>
        <w:tc>
          <w:tcPr>
            <w:tcW w:w="1021" w:type="dxa"/>
            <w:vMerge w:val="continue"/>
            <w:tcBorders>
              <w:right w:val="single" w:color="auto" w:sz="4" w:space="0"/>
            </w:tcBorders>
            <w:noWrap w:val="0"/>
            <w:vAlign w:val="center"/>
          </w:tcPr>
          <w:p>
            <w:pPr>
              <w:bidi w:val="0"/>
              <w:spacing w:line="240" w:lineRule="auto"/>
              <w:ind w:left="0" w:leftChars="0" w:firstLine="0" w:firstLineChars="0"/>
              <w:jc w:val="center"/>
              <w:rPr>
                <w:rFonts w:hint="eastAsia"/>
                <w:sz w:val="21"/>
                <w:szCs w:val="21"/>
              </w:rPr>
            </w:pPr>
          </w:p>
        </w:tc>
        <w:tc>
          <w:tcPr>
            <w:tcW w:w="1717" w:type="dxa"/>
            <w:tcBorders>
              <w:left w:val="single" w:color="auto" w:sz="4" w:space="0"/>
              <w:bottom w:val="single" w:color="auto" w:sz="4" w:space="0"/>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水土流失防护</w:t>
            </w:r>
          </w:p>
        </w:tc>
        <w:tc>
          <w:tcPr>
            <w:tcW w:w="5070" w:type="dxa"/>
            <w:tcBorders>
              <w:right w:val="single" w:color="auto" w:sz="4" w:space="0"/>
            </w:tcBorders>
            <w:noWrap w:val="0"/>
            <w:vAlign w:val="center"/>
          </w:tcPr>
          <w:p>
            <w:pPr>
              <w:bidi w:val="0"/>
              <w:spacing w:line="240" w:lineRule="auto"/>
              <w:ind w:left="0" w:leftChars="0" w:firstLine="0" w:firstLineChars="0"/>
              <w:jc w:val="center"/>
              <w:rPr>
                <w:rFonts w:hint="eastAsia"/>
                <w:sz w:val="21"/>
                <w:szCs w:val="21"/>
                <w:lang w:eastAsia="zh-CN"/>
              </w:rPr>
            </w:pPr>
            <w:r>
              <w:rPr>
                <w:rFonts w:hint="eastAsia"/>
                <w:sz w:val="21"/>
                <w:szCs w:val="21"/>
              </w:rPr>
              <w:t>建挡土墙、截水沟、排水沟</w:t>
            </w:r>
          </w:p>
        </w:tc>
        <w:tc>
          <w:tcPr>
            <w:tcW w:w="1914" w:type="dxa"/>
            <w:vMerge w:val="continue"/>
            <w:tcBorders>
              <w:left w:val="single" w:color="auto" w:sz="4" w:space="0"/>
            </w:tcBorders>
            <w:noWrap w:val="0"/>
            <w:vAlign w:val="center"/>
          </w:tcPr>
          <w:p>
            <w:pPr>
              <w:bidi w:val="0"/>
              <w:spacing w:line="240" w:lineRule="auto"/>
              <w:ind w:left="0" w:leftChars="0" w:firstLine="0" w:firstLineChars="0"/>
              <w:jc w:val="center"/>
              <w:rPr>
                <w:rFonts w:hint="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13" w:hRule="atLeast"/>
          <w:jc w:val="center"/>
        </w:trPr>
        <w:tc>
          <w:tcPr>
            <w:tcW w:w="1021" w:type="dxa"/>
            <w:vMerge w:val="restart"/>
            <w:tcBorders>
              <w:right w:val="single" w:color="auto" w:sz="4" w:space="0"/>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营运期</w:t>
            </w:r>
          </w:p>
        </w:tc>
        <w:tc>
          <w:tcPr>
            <w:tcW w:w="1717" w:type="dxa"/>
            <w:tcBorders>
              <w:left w:val="single" w:color="auto" w:sz="4" w:space="0"/>
              <w:bottom w:val="single" w:color="auto" w:sz="4" w:space="0"/>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污水处理</w:t>
            </w:r>
          </w:p>
        </w:tc>
        <w:tc>
          <w:tcPr>
            <w:tcW w:w="5070" w:type="dxa"/>
            <w:tcBorders>
              <w:right w:val="single" w:color="auto" w:sz="4" w:space="0"/>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lang w:eastAsia="zh-CN"/>
              </w:rPr>
              <w:t>三级化粪池</w:t>
            </w:r>
          </w:p>
        </w:tc>
        <w:tc>
          <w:tcPr>
            <w:tcW w:w="1914" w:type="dxa"/>
            <w:tcBorders>
              <w:left w:val="single" w:color="auto" w:sz="4" w:space="0"/>
            </w:tcBorders>
            <w:noWrap w:val="0"/>
            <w:vAlign w:val="center"/>
          </w:tcPr>
          <w:p>
            <w:pPr>
              <w:bidi w:val="0"/>
              <w:spacing w:line="240" w:lineRule="auto"/>
              <w:ind w:left="0" w:leftChars="0" w:firstLine="0" w:firstLineChars="0"/>
              <w:jc w:val="center"/>
              <w:rPr>
                <w:rFonts w:hint="eastAsia"/>
                <w:sz w:val="21"/>
                <w:szCs w:val="21"/>
                <w:lang w:eastAsia="zh-CN"/>
              </w:rPr>
            </w:pPr>
            <w:r>
              <w:rPr>
                <w:rFonts w:hint="eastAsia"/>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13" w:hRule="atLeast"/>
          <w:jc w:val="center"/>
        </w:trPr>
        <w:tc>
          <w:tcPr>
            <w:tcW w:w="1021" w:type="dxa"/>
            <w:vMerge w:val="continue"/>
            <w:tcBorders>
              <w:right w:val="single" w:color="auto" w:sz="4" w:space="0"/>
            </w:tcBorders>
            <w:noWrap w:val="0"/>
            <w:vAlign w:val="center"/>
          </w:tcPr>
          <w:p>
            <w:pPr>
              <w:bidi w:val="0"/>
              <w:spacing w:line="240" w:lineRule="auto"/>
              <w:ind w:left="0" w:leftChars="0" w:firstLine="0" w:firstLineChars="0"/>
              <w:jc w:val="center"/>
              <w:rPr>
                <w:rFonts w:hint="eastAsia"/>
                <w:sz w:val="21"/>
                <w:szCs w:val="21"/>
              </w:rPr>
            </w:pPr>
          </w:p>
        </w:tc>
        <w:tc>
          <w:tcPr>
            <w:tcW w:w="1717" w:type="dxa"/>
            <w:tcBorders>
              <w:left w:val="single" w:color="auto" w:sz="4" w:space="0"/>
              <w:bottom w:val="single" w:color="auto" w:sz="4" w:space="0"/>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废气处理</w:t>
            </w:r>
          </w:p>
        </w:tc>
        <w:tc>
          <w:tcPr>
            <w:tcW w:w="5070" w:type="dxa"/>
            <w:tcBorders>
              <w:right w:val="single" w:color="auto" w:sz="4" w:space="0"/>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生产车间通风换气扇</w:t>
            </w:r>
            <w:r>
              <w:rPr>
                <w:rFonts w:hint="eastAsia"/>
                <w:sz w:val="21"/>
                <w:szCs w:val="21"/>
                <w:lang w:eastAsia="zh-CN"/>
              </w:rPr>
              <w:t>、</w:t>
            </w:r>
            <w:r>
              <w:rPr>
                <w:rFonts w:hint="eastAsia"/>
                <w:sz w:val="21"/>
                <w:szCs w:val="21"/>
                <w:lang w:val="en-US" w:eastAsia="zh-CN"/>
              </w:rPr>
              <w:t>UV光催化净化器+活性炭处理</w:t>
            </w:r>
          </w:p>
        </w:tc>
        <w:tc>
          <w:tcPr>
            <w:tcW w:w="1914" w:type="dxa"/>
            <w:tcBorders>
              <w:left w:val="single" w:color="auto" w:sz="4" w:space="0"/>
            </w:tcBorders>
            <w:noWrap w:val="0"/>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13" w:hRule="atLeast"/>
          <w:jc w:val="center"/>
        </w:trPr>
        <w:tc>
          <w:tcPr>
            <w:tcW w:w="1021" w:type="dxa"/>
            <w:vMerge w:val="continue"/>
            <w:tcBorders>
              <w:right w:val="single" w:color="auto" w:sz="4" w:space="0"/>
            </w:tcBorders>
            <w:noWrap w:val="0"/>
            <w:vAlign w:val="center"/>
          </w:tcPr>
          <w:p>
            <w:pPr>
              <w:bidi w:val="0"/>
              <w:spacing w:line="240" w:lineRule="auto"/>
              <w:ind w:left="0" w:leftChars="0" w:firstLine="0" w:firstLineChars="0"/>
              <w:jc w:val="center"/>
              <w:rPr>
                <w:rFonts w:hint="eastAsia"/>
                <w:sz w:val="21"/>
                <w:szCs w:val="21"/>
              </w:rPr>
            </w:pPr>
          </w:p>
        </w:tc>
        <w:tc>
          <w:tcPr>
            <w:tcW w:w="1717" w:type="dxa"/>
            <w:tcBorders>
              <w:left w:val="single" w:color="auto" w:sz="4" w:space="0"/>
              <w:bottom w:val="single" w:color="auto" w:sz="4" w:space="0"/>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噪声治理</w:t>
            </w:r>
          </w:p>
        </w:tc>
        <w:tc>
          <w:tcPr>
            <w:tcW w:w="5070" w:type="dxa"/>
            <w:tcBorders>
              <w:right w:val="single" w:color="auto" w:sz="4" w:space="0"/>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各种电机设备噪声的治理</w:t>
            </w:r>
          </w:p>
        </w:tc>
        <w:tc>
          <w:tcPr>
            <w:tcW w:w="1914" w:type="dxa"/>
            <w:tcBorders>
              <w:left w:val="single" w:color="auto" w:sz="4" w:space="0"/>
            </w:tcBorders>
            <w:noWrap w:val="0"/>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13" w:hRule="atLeast"/>
          <w:jc w:val="center"/>
        </w:trPr>
        <w:tc>
          <w:tcPr>
            <w:tcW w:w="1021" w:type="dxa"/>
            <w:vMerge w:val="continue"/>
            <w:tcBorders>
              <w:right w:val="single" w:color="auto" w:sz="4" w:space="0"/>
            </w:tcBorders>
            <w:noWrap w:val="0"/>
            <w:vAlign w:val="center"/>
          </w:tcPr>
          <w:p>
            <w:pPr>
              <w:bidi w:val="0"/>
              <w:spacing w:line="240" w:lineRule="auto"/>
              <w:ind w:left="0" w:leftChars="0" w:firstLine="0" w:firstLineChars="0"/>
              <w:jc w:val="center"/>
              <w:rPr>
                <w:rFonts w:hint="eastAsia"/>
                <w:sz w:val="21"/>
                <w:szCs w:val="21"/>
              </w:rPr>
            </w:pPr>
          </w:p>
        </w:tc>
        <w:tc>
          <w:tcPr>
            <w:tcW w:w="1717" w:type="dxa"/>
            <w:tcBorders>
              <w:top w:val="single" w:color="auto" w:sz="4" w:space="0"/>
              <w:left w:val="single" w:color="auto" w:sz="4" w:space="0"/>
              <w:bottom w:val="single" w:color="auto" w:sz="4" w:space="0"/>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固体废物处理</w:t>
            </w:r>
          </w:p>
        </w:tc>
        <w:tc>
          <w:tcPr>
            <w:tcW w:w="5070" w:type="dxa"/>
            <w:tcBorders>
              <w:right w:val="single" w:color="auto" w:sz="4" w:space="0"/>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lang w:eastAsia="zh-CN"/>
              </w:rPr>
              <w:t>油漆空桶</w:t>
            </w:r>
            <w:r>
              <w:rPr>
                <w:rFonts w:hint="eastAsia"/>
                <w:sz w:val="21"/>
                <w:szCs w:val="21"/>
              </w:rPr>
              <w:t>收集后</w:t>
            </w:r>
            <w:r>
              <w:rPr>
                <w:rFonts w:hint="eastAsia"/>
                <w:sz w:val="21"/>
                <w:szCs w:val="21"/>
                <w:lang w:eastAsia="zh-CN"/>
              </w:rPr>
              <w:t>储存在废料间后，由供应商回收</w:t>
            </w:r>
          </w:p>
        </w:tc>
        <w:tc>
          <w:tcPr>
            <w:tcW w:w="1914" w:type="dxa"/>
            <w:tcBorders>
              <w:left w:val="single" w:color="auto" w:sz="4" w:space="0"/>
            </w:tcBorders>
            <w:noWrap w:val="0"/>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90" w:hRule="atLeast"/>
          <w:jc w:val="center"/>
        </w:trPr>
        <w:tc>
          <w:tcPr>
            <w:tcW w:w="7808" w:type="dxa"/>
            <w:gridSpan w:val="3"/>
            <w:tcBorders>
              <w:right w:val="single" w:color="auto" w:sz="4" w:space="0"/>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总计</w:t>
            </w:r>
          </w:p>
        </w:tc>
        <w:tc>
          <w:tcPr>
            <w:tcW w:w="1914" w:type="dxa"/>
            <w:tcBorders>
              <w:left w:val="single" w:color="auto" w:sz="4" w:space="0"/>
            </w:tcBorders>
            <w:noWrap w:val="0"/>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65</w:t>
            </w:r>
          </w:p>
        </w:tc>
      </w:tr>
    </w:tbl>
    <w:p>
      <w:pPr>
        <w:pStyle w:val="3"/>
        <w:rPr>
          <w:rFonts w:hint="eastAsia"/>
          <w:lang w:val="en-US" w:eastAsia="zh-CN"/>
        </w:rPr>
        <w:sectPr>
          <w:pgSz w:w="11906" w:h="16838"/>
          <w:pgMar w:top="1134" w:right="1080" w:bottom="1134" w:left="108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bookmarkStart w:id="183" w:name="_Toc9316_WPSOffice_Level1"/>
      <w:bookmarkStart w:id="184" w:name="_Toc23568"/>
      <w:bookmarkStart w:id="185" w:name="_Toc9199"/>
    </w:p>
    <w:p>
      <w:pPr>
        <w:pStyle w:val="3"/>
      </w:pPr>
      <w:bookmarkStart w:id="186" w:name="_Toc24738"/>
      <w:r>
        <w:rPr>
          <w:rFonts w:hint="eastAsia"/>
          <w:lang w:val="en-US" w:eastAsia="zh-CN"/>
        </w:rPr>
        <w:t>7、</w:t>
      </w:r>
      <w:r>
        <w:rPr>
          <w:rFonts w:hint="eastAsia"/>
        </w:rPr>
        <w:t>审批意见</w:t>
      </w:r>
      <w:bookmarkEnd w:id="183"/>
      <w:bookmarkEnd w:id="184"/>
      <w:bookmarkEnd w:id="185"/>
      <w:bookmarkEnd w:id="186"/>
    </w:p>
    <w:p>
      <w:pPr>
        <w:ind w:firstLine="480"/>
      </w:pPr>
      <w:r>
        <w:rPr>
          <w:rFonts w:hint="eastAsia"/>
        </w:rPr>
        <w:t>详见附件9：</w:t>
      </w:r>
      <w:r>
        <w:rPr>
          <w:rFonts w:hint="eastAsia"/>
          <w:lang w:val="en-US" w:eastAsia="zh-CN"/>
        </w:rPr>
        <w:t>汕头市濠江区城市建设管理和环境保护局下发的</w:t>
      </w:r>
      <w:r>
        <w:rPr>
          <w:rFonts w:hint="eastAsia"/>
        </w:rPr>
        <w:t>《关于</w:t>
      </w:r>
      <w:r>
        <w:rPr>
          <w:rFonts w:hint="eastAsia"/>
          <w:lang w:eastAsia="zh-CN"/>
        </w:rPr>
        <w:t>上海电气风电广东</w:t>
      </w:r>
      <w:r>
        <w:t>有限公司</w:t>
      </w:r>
      <w:r>
        <w:rPr>
          <w:rFonts w:hint="eastAsia"/>
          <w:lang w:eastAsia="zh-CN"/>
        </w:rPr>
        <w:t>海上风电智能制造项目</w:t>
      </w:r>
      <w:r>
        <w:rPr>
          <w:rFonts w:hint="eastAsia"/>
          <w:lang w:val="en-US" w:eastAsia="zh-CN"/>
        </w:rPr>
        <w:t>环境影响报告表的批复</w:t>
      </w:r>
      <w:r>
        <w:rPr>
          <w:rFonts w:hint="eastAsia"/>
        </w:rPr>
        <w:t>》（</w:t>
      </w:r>
      <w:r>
        <w:rPr>
          <w:rFonts w:hint="eastAsia"/>
          <w:lang w:eastAsia="zh-CN"/>
        </w:rPr>
        <w:t>汕濠环建【2018】25号</w:t>
      </w:r>
      <w:r>
        <w:rPr>
          <w:rFonts w:hint="eastAsia"/>
        </w:rPr>
        <w:t>），20</w:t>
      </w:r>
      <w:r>
        <w:rPr>
          <w:rFonts w:hint="eastAsia"/>
          <w:lang w:val="en-US" w:eastAsia="zh-CN"/>
        </w:rPr>
        <w:t>18</w:t>
      </w:r>
      <w:r>
        <w:rPr>
          <w:rFonts w:hint="eastAsia"/>
        </w:rPr>
        <w:t>年</w:t>
      </w:r>
      <w:r>
        <w:rPr>
          <w:rFonts w:hint="eastAsia"/>
          <w:lang w:val="en-US" w:eastAsia="zh-CN"/>
        </w:rPr>
        <w:t>7</w:t>
      </w:r>
      <w:r>
        <w:rPr>
          <w:rFonts w:hint="eastAsia"/>
        </w:rPr>
        <w:t>月</w:t>
      </w:r>
      <w:r>
        <w:rPr>
          <w:rFonts w:hint="eastAsia"/>
          <w:lang w:val="en-US" w:eastAsia="zh-CN"/>
        </w:rPr>
        <w:t>2</w:t>
      </w:r>
      <w:r>
        <w:rPr>
          <w:rFonts w:hint="eastAsia"/>
        </w:rPr>
        <w:t>日。</w:t>
      </w:r>
    </w:p>
    <w:p>
      <w:pPr>
        <w:pStyle w:val="3"/>
        <w:pageBreakBefore w:val="0"/>
        <w:widowControl w:val="0"/>
        <w:kinsoku/>
        <w:overflowPunct/>
        <w:topLinePunct w:val="0"/>
        <w:bidi w:val="0"/>
        <w:adjustRightInd w:val="0"/>
        <w:snapToGrid w:val="0"/>
        <w:textAlignment w:val="auto"/>
        <w:rPr>
          <w:rFonts w:hint="eastAsia"/>
          <w:lang w:val="en-US" w:eastAsia="zh-CN"/>
        </w:rPr>
      </w:pPr>
      <w:bookmarkStart w:id="187" w:name="_Toc11091"/>
      <w:bookmarkStart w:id="188" w:name="_Toc13025"/>
      <w:bookmarkStart w:id="189" w:name="_Toc22924_WPSOffice_Level1"/>
      <w:bookmarkStart w:id="190" w:name="_Toc20677_WPSOffice_Level1"/>
    </w:p>
    <w:p>
      <w:pPr>
        <w:pStyle w:val="3"/>
        <w:pageBreakBefore w:val="0"/>
        <w:widowControl w:val="0"/>
        <w:kinsoku/>
        <w:overflowPunct/>
        <w:topLinePunct w:val="0"/>
        <w:bidi w:val="0"/>
        <w:adjustRightInd w:val="0"/>
        <w:snapToGrid w:val="0"/>
        <w:textAlignment w:val="auto"/>
      </w:pPr>
      <w:bookmarkStart w:id="191" w:name="_Toc29643"/>
      <w:r>
        <w:rPr>
          <w:rFonts w:hint="eastAsia"/>
          <w:lang w:val="en-US" w:eastAsia="zh-CN"/>
        </w:rPr>
        <w:t>8、</w:t>
      </w:r>
      <w:r>
        <w:rPr>
          <w:rFonts w:hint="eastAsia"/>
        </w:rPr>
        <w:t>验收监测评价标准</w:t>
      </w:r>
      <w:bookmarkEnd w:id="187"/>
      <w:bookmarkEnd w:id="188"/>
      <w:bookmarkEnd w:id="189"/>
      <w:bookmarkEnd w:id="190"/>
      <w:bookmarkEnd w:id="191"/>
    </w:p>
    <w:p>
      <w:pPr>
        <w:pStyle w:val="4"/>
        <w:pageBreakBefore w:val="0"/>
        <w:widowControl w:val="0"/>
        <w:kinsoku/>
        <w:overflowPunct/>
        <w:topLinePunct w:val="0"/>
        <w:bidi w:val="0"/>
        <w:adjustRightInd w:val="0"/>
        <w:snapToGrid w:val="0"/>
        <w:textAlignment w:val="auto"/>
      </w:pPr>
      <w:bookmarkStart w:id="192" w:name="_Toc22658_WPSOffice_Level1"/>
      <w:bookmarkStart w:id="193" w:name="_Toc18136"/>
      <w:bookmarkStart w:id="194" w:name="_Toc5299"/>
      <w:bookmarkStart w:id="195" w:name="_Toc5870_WPSOffice_Level1"/>
      <w:bookmarkStart w:id="196" w:name="_Toc13289"/>
      <w:bookmarkStart w:id="197" w:name="_Toc24897"/>
      <w:bookmarkStart w:id="198" w:name="_Toc9288_WPSOffice_Level1"/>
      <w:bookmarkStart w:id="199" w:name="_Toc12393"/>
      <w:bookmarkStart w:id="200" w:name="_Toc18308"/>
      <w:r>
        <w:rPr>
          <w:rFonts w:hint="eastAsia"/>
          <w:lang w:val="en-US" w:eastAsia="zh-CN"/>
        </w:rPr>
        <w:t>8</w:t>
      </w:r>
      <w:r>
        <w:rPr>
          <w:rFonts w:hint="eastAsia"/>
        </w:rPr>
        <w:t>.1废水评价标准</w:t>
      </w:r>
      <w:bookmarkEnd w:id="192"/>
      <w:bookmarkEnd w:id="193"/>
      <w:bookmarkEnd w:id="194"/>
      <w:bookmarkEnd w:id="195"/>
      <w:bookmarkEnd w:id="196"/>
      <w:bookmarkEnd w:id="197"/>
      <w:bookmarkEnd w:id="198"/>
      <w:bookmarkEnd w:id="199"/>
      <w:bookmarkEnd w:id="200"/>
    </w:p>
    <w:p>
      <w:pPr>
        <w:bidi w:val="0"/>
        <w:rPr>
          <w:rFonts w:ascii="宋体" w:hAnsi="宋体" w:cs="宋体"/>
          <w:szCs w:val="21"/>
        </w:rPr>
      </w:pPr>
      <w:bookmarkStart w:id="201" w:name="_Toc21213"/>
      <w:bookmarkStart w:id="202" w:name="_Toc11111"/>
      <w:bookmarkStart w:id="203" w:name="_Toc24911"/>
      <w:bookmarkStart w:id="204" w:name="_Toc27506"/>
      <w:bookmarkStart w:id="205" w:name="_Toc6519"/>
      <w:bookmarkStart w:id="206" w:name="_Toc19116"/>
      <w:r>
        <w:t>项目所在区域属</w:t>
      </w:r>
      <w:r>
        <w:rPr>
          <w:rFonts w:hint="eastAsia"/>
          <w:lang w:eastAsia="zh-CN"/>
        </w:rPr>
        <w:t>汕头市南区污水处理厂</w:t>
      </w:r>
      <w:r>
        <w:rPr>
          <w:rFonts w:hint="default"/>
        </w:rPr>
        <w:t>纳污范围</w:t>
      </w:r>
      <w:r>
        <w:t>，</w:t>
      </w:r>
      <w:r>
        <w:rPr>
          <w:rFonts w:hint="eastAsia"/>
          <w:lang w:eastAsia="zh-CN"/>
        </w:rPr>
        <w:t>项目污水经预处理达到广东省地方标准《水污染物排放限值》（</w:t>
      </w:r>
      <w:r>
        <w:rPr>
          <w:rFonts w:hint="eastAsia"/>
          <w:lang w:val="en-US" w:eastAsia="zh-CN"/>
        </w:rPr>
        <w:t>DB44/26-2001</w:t>
      </w:r>
      <w:r>
        <w:rPr>
          <w:rFonts w:hint="eastAsia"/>
          <w:lang w:eastAsia="zh-CN"/>
        </w:rPr>
        <w:t>）中第二时段第二类污染物最高允许排放浓度的三级标准后通过市政污水管网汇入汕头市南区污水处理厂进行集中处理后排入濠江</w:t>
      </w:r>
      <w:r>
        <w:t>，见表</w:t>
      </w:r>
      <w:r>
        <w:rPr>
          <w:rFonts w:hint="eastAsia"/>
          <w:lang w:val="en-US" w:eastAsia="zh-CN"/>
        </w:rPr>
        <w:t>8</w:t>
      </w:r>
      <w:r>
        <w:t>.1-1。</w:t>
      </w:r>
      <w:bookmarkEnd w:id="201"/>
      <w:bookmarkEnd w:id="202"/>
      <w:bookmarkEnd w:id="203"/>
      <w:bookmarkEnd w:id="204"/>
      <w:bookmarkEnd w:id="205"/>
      <w:bookmarkEnd w:id="206"/>
    </w:p>
    <w:p>
      <w:pPr>
        <w:pageBreakBefore w:val="0"/>
        <w:widowControl w:val="0"/>
        <w:kinsoku/>
        <w:wordWrap/>
        <w:overflowPunct/>
        <w:topLinePunct w:val="0"/>
        <w:bidi w:val="0"/>
        <w:adjustRightInd w:val="0"/>
        <w:snapToGrid w:val="0"/>
        <w:spacing w:line="360" w:lineRule="auto"/>
        <w:ind w:firstLine="0" w:firstLineChars="0"/>
        <w:jc w:val="center"/>
        <w:textAlignment w:val="auto"/>
        <w:rPr>
          <w:rFonts w:hint="eastAsia" w:ascii="黑体" w:hAnsi="黑体" w:eastAsia="黑体" w:cs="黑体"/>
          <w:b w:val="0"/>
          <w:bCs/>
          <w:sz w:val="24"/>
          <w:szCs w:val="24"/>
        </w:rPr>
      </w:pPr>
      <w:r>
        <w:rPr>
          <w:rFonts w:hint="eastAsia" w:ascii="黑体" w:hAnsi="黑体" w:eastAsia="黑体" w:cs="黑体"/>
          <w:b w:val="0"/>
          <w:bCs/>
          <w:sz w:val="24"/>
          <w:szCs w:val="24"/>
        </w:rPr>
        <w:t>表</w:t>
      </w:r>
      <w:r>
        <w:rPr>
          <w:rFonts w:hint="eastAsia" w:ascii="黑体" w:hAnsi="黑体" w:eastAsia="黑体" w:cs="黑体"/>
          <w:b w:val="0"/>
          <w:bCs/>
          <w:sz w:val="24"/>
          <w:szCs w:val="24"/>
          <w:lang w:val="en-US" w:eastAsia="zh-CN"/>
        </w:rPr>
        <w:t>8</w:t>
      </w:r>
      <w:r>
        <w:rPr>
          <w:rFonts w:hint="eastAsia" w:ascii="黑体" w:hAnsi="黑体" w:eastAsia="黑体" w:cs="黑体"/>
          <w:b w:val="0"/>
          <w:bCs/>
          <w:sz w:val="24"/>
          <w:szCs w:val="24"/>
        </w:rPr>
        <w:t>.1-1</w:t>
      </w:r>
      <w:r>
        <w:rPr>
          <w:rFonts w:hint="eastAsia" w:eastAsia="黑体"/>
          <w:color w:val="auto"/>
          <w:szCs w:val="21"/>
          <w:highlight w:val="none"/>
        </w:rPr>
        <w:t>水污染物排放限值</w:t>
      </w:r>
      <w:r>
        <w:rPr>
          <w:rFonts w:hint="eastAsia" w:eastAsia="黑体"/>
          <w:color w:val="auto"/>
          <w:szCs w:val="21"/>
          <w:highlight w:val="none"/>
          <w:lang w:val="en-US" w:eastAsia="zh-CN"/>
        </w:rPr>
        <w:t xml:space="preserve">  </w:t>
      </w:r>
      <w:r>
        <w:rPr>
          <w:rFonts w:hint="eastAsia" w:ascii="黑体" w:hAnsi="黑体" w:eastAsia="黑体" w:cs="黑体"/>
          <w:b w:val="0"/>
          <w:bCs/>
          <w:sz w:val="24"/>
          <w:szCs w:val="24"/>
        </w:rPr>
        <w:t>单位：mg/L（pH除外）</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84"/>
        <w:gridCol w:w="1484"/>
        <w:gridCol w:w="1484"/>
        <w:gridCol w:w="1484"/>
        <w:gridCol w:w="1484"/>
        <w:gridCol w:w="14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84" w:type="dxa"/>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sz w:val="21"/>
                <w:szCs w:val="21"/>
              </w:rPr>
            </w:pPr>
            <w:r>
              <w:rPr>
                <w:sz w:val="21"/>
                <w:szCs w:val="21"/>
              </w:rPr>
              <w:t>序号</w:t>
            </w:r>
          </w:p>
        </w:tc>
        <w:tc>
          <w:tcPr>
            <w:tcW w:w="1484" w:type="dxa"/>
            <w:tcBorders>
              <w:righ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sz w:val="21"/>
                <w:szCs w:val="21"/>
              </w:rPr>
            </w:pPr>
            <w:r>
              <w:rPr>
                <w:sz w:val="21"/>
                <w:szCs w:val="21"/>
              </w:rPr>
              <w:t>污染物</w:t>
            </w:r>
            <w:r>
              <w:rPr>
                <w:rFonts w:hint="eastAsia"/>
                <w:sz w:val="21"/>
                <w:szCs w:val="21"/>
              </w:rPr>
              <w:t>项目</w:t>
            </w:r>
          </w:p>
        </w:tc>
        <w:tc>
          <w:tcPr>
            <w:tcW w:w="1484" w:type="dxa"/>
            <w:tcBorders>
              <w:righ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eastAsia"/>
                <w:sz w:val="21"/>
                <w:szCs w:val="21"/>
              </w:rPr>
            </w:pPr>
            <w:r>
              <w:rPr>
                <w:rFonts w:hint="eastAsia"/>
                <w:sz w:val="21"/>
                <w:szCs w:val="21"/>
                <w:lang w:eastAsia="zh-CN"/>
              </w:rPr>
              <w:t>排放限值</w:t>
            </w:r>
          </w:p>
        </w:tc>
        <w:tc>
          <w:tcPr>
            <w:tcW w:w="1484" w:type="dxa"/>
            <w:tcBorders>
              <w:left w:val="single" w:color="auto" w:sz="4" w:space="0"/>
              <w:righ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eastAsia"/>
                <w:sz w:val="21"/>
                <w:szCs w:val="21"/>
                <w:lang w:eastAsia="zh-CN"/>
              </w:rPr>
            </w:pPr>
            <w:r>
              <w:rPr>
                <w:rFonts w:hint="eastAsia"/>
                <w:sz w:val="21"/>
                <w:szCs w:val="21"/>
                <w:lang w:eastAsia="zh-CN"/>
              </w:rPr>
              <w:t>序号</w:t>
            </w:r>
          </w:p>
        </w:tc>
        <w:tc>
          <w:tcPr>
            <w:tcW w:w="1484" w:type="dxa"/>
            <w:tcBorders>
              <w:left w:val="single" w:color="auto" w:sz="4" w:space="0"/>
              <w:righ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eastAsia"/>
                <w:sz w:val="21"/>
                <w:szCs w:val="21"/>
                <w:lang w:eastAsia="zh-CN"/>
              </w:rPr>
            </w:pPr>
            <w:r>
              <w:rPr>
                <w:sz w:val="21"/>
                <w:szCs w:val="21"/>
              </w:rPr>
              <w:t>污染物</w:t>
            </w:r>
            <w:r>
              <w:rPr>
                <w:rFonts w:hint="eastAsia"/>
                <w:sz w:val="21"/>
                <w:szCs w:val="21"/>
              </w:rPr>
              <w:t>项目</w:t>
            </w:r>
          </w:p>
        </w:tc>
        <w:tc>
          <w:tcPr>
            <w:tcW w:w="1484" w:type="dxa"/>
            <w:tcBorders>
              <w:lef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eastAsia"/>
                <w:sz w:val="21"/>
                <w:szCs w:val="21"/>
                <w:lang w:eastAsia="zh-CN"/>
              </w:rPr>
            </w:pPr>
            <w:r>
              <w:rPr>
                <w:rFonts w:hint="eastAsia"/>
                <w:sz w:val="21"/>
                <w:szCs w:val="21"/>
                <w:lang w:eastAsia="zh-CN"/>
              </w:rPr>
              <w:t>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84" w:type="dxa"/>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eastAsia"/>
                <w:sz w:val="21"/>
                <w:szCs w:val="21"/>
              </w:rPr>
            </w:pPr>
            <w:r>
              <w:rPr>
                <w:rFonts w:hint="eastAsia"/>
                <w:sz w:val="21"/>
                <w:szCs w:val="21"/>
              </w:rPr>
              <w:t>1</w:t>
            </w:r>
          </w:p>
        </w:tc>
        <w:tc>
          <w:tcPr>
            <w:tcW w:w="1484" w:type="dxa"/>
            <w:tcBorders>
              <w:righ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eastAsia"/>
                <w:sz w:val="21"/>
                <w:szCs w:val="21"/>
              </w:rPr>
            </w:pPr>
            <w:r>
              <w:rPr>
                <w:rFonts w:hint="eastAsia"/>
                <w:sz w:val="21"/>
                <w:szCs w:val="21"/>
              </w:rPr>
              <w:t>CODCr</w:t>
            </w:r>
          </w:p>
        </w:tc>
        <w:tc>
          <w:tcPr>
            <w:tcW w:w="1484" w:type="dxa"/>
            <w:tcBorders>
              <w:righ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default" w:eastAsia="宋体"/>
                <w:sz w:val="21"/>
                <w:szCs w:val="21"/>
                <w:lang w:val="en-US" w:eastAsia="zh-CN"/>
              </w:rPr>
            </w:pPr>
            <w:r>
              <w:rPr>
                <w:rFonts w:hint="eastAsia"/>
                <w:sz w:val="21"/>
                <w:szCs w:val="21"/>
                <w:lang w:val="en-US" w:eastAsia="zh-CN"/>
              </w:rPr>
              <w:t>500</w:t>
            </w:r>
          </w:p>
        </w:tc>
        <w:tc>
          <w:tcPr>
            <w:tcW w:w="1484" w:type="dxa"/>
            <w:tcBorders>
              <w:left w:val="single" w:color="auto" w:sz="4" w:space="0"/>
              <w:righ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eastAsia"/>
                <w:sz w:val="21"/>
                <w:szCs w:val="21"/>
                <w:lang w:val="en-US" w:eastAsia="zh-CN"/>
              </w:rPr>
            </w:pPr>
            <w:r>
              <w:rPr>
                <w:rFonts w:hint="eastAsia"/>
                <w:sz w:val="21"/>
                <w:szCs w:val="21"/>
              </w:rPr>
              <w:t>4</w:t>
            </w:r>
          </w:p>
        </w:tc>
        <w:tc>
          <w:tcPr>
            <w:tcW w:w="1484" w:type="dxa"/>
            <w:tcBorders>
              <w:left w:val="single" w:color="auto" w:sz="4" w:space="0"/>
              <w:righ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default" w:eastAsia="宋体"/>
                <w:sz w:val="21"/>
                <w:szCs w:val="21"/>
                <w:lang w:val="en-US" w:eastAsia="zh-CN"/>
              </w:rPr>
            </w:pPr>
            <w:r>
              <w:rPr>
                <w:rFonts w:hint="eastAsia"/>
                <w:sz w:val="21"/>
                <w:szCs w:val="21"/>
                <w:lang w:val="en-US" w:eastAsia="zh-CN"/>
              </w:rPr>
              <w:t>pH</w:t>
            </w:r>
          </w:p>
        </w:tc>
        <w:tc>
          <w:tcPr>
            <w:tcW w:w="1484" w:type="dxa"/>
            <w:tcBorders>
              <w:lef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sz w:val="21"/>
                <w:szCs w:val="21"/>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484" w:type="dxa"/>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sz w:val="21"/>
                <w:szCs w:val="21"/>
              </w:rPr>
            </w:pPr>
            <w:r>
              <w:rPr>
                <w:sz w:val="21"/>
                <w:szCs w:val="21"/>
              </w:rPr>
              <w:t>2</w:t>
            </w:r>
          </w:p>
        </w:tc>
        <w:tc>
          <w:tcPr>
            <w:tcW w:w="1484" w:type="dxa"/>
            <w:tcBorders>
              <w:righ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eastAsia"/>
                <w:sz w:val="21"/>
                <w:szCs w:val="21"/>
              </w:rPr>
            </w:pPr>
            <w:r>
              <w:rPr>
                <w:rFonts w:hint="eastAsia"/>
                <w:sz w:val="21"/>
                <w:szCs w:val="21"/>
              </w:rPr>
              <w:t>BOD5</w:t>
            </w:r>
          </w:p>
        </w:tc>
        <w:tc>
          <w:tcPr>
            <w:tcW w:w="1484" w:type="dxa"/>
            <w:tcBorders>
              <w:righ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default"/>
                <w:sz w:val="21"/>
                <w:szCs w:val="21"/>
                <w:lang w:val="en-US"/>
              </w:rPr>
            </w:pPr>
            <w:r>
              <w:rPr>
                <w:rFonts w:hint="eastAsia"/>
                <w:sz w:val="21"/>
                <w:szCs w:val="21"/>
                <w:lang w:val="en-US" w:eastAsia="zh-CN"/>
              </w:rPr>
              <w:t>300</w:t>
            </w:r>
          </w:p>
        </w:tc>
        <w:tc>
          <w:tcPr>
            <w:tcW w:w="1484" w:type="dxa"/>
            <w:tcBorders>
              <w:left w:val="single" w:color="auto" w:sz="4" w:space="0"/>
              <w:righ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eastAsia"/>
                <w:sz w:val="21"/>
                <w:szCs w:val="21"/>
                <w:lang w:val="en-US" w:eastAsia="zh-CN"/>
              </w:rPr>
            </w:pPr>
            <w:r>
              <w:rPr>
                <w:rFonts w:hint="eastAsia"/>
                <w:sz w:val="21"/>
                <w:szCs w:val="21"/>
                <w:lang w:val="en-US" w:eastAsia="zh-CN"/>
              </w:rPr>
              <w:t>5</w:t>
            </w:r>
          </w:p>
        </w:tc>
        <w:tc>
          <w:tcPr>
            <w:tcW w:w="1484" w:type="dxa"/>
            <w:tcBorders>
              <w:left w:val="single" w:color="auto" w:sz="4" w:space="0"/>
              <w:righ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eastAsia"/>
                <w:sz w:val="21"/>
                <w:szCs w:val="21"/>
                <w:lang w:val="en-US" w:eastAsia="zh-CN"/>
              </w:rPr>
            </w:pPr>
            <w:r>
              <w:rPr>
                <w:rFonts w:hint="eastAsia"/>
                <w:sz w:val="21"/>
                <w:szCs w:val="21"/>
                <w:lang w:val="en-US" w:eastAsia="zh-CN"/>
              </w:rPr>
              <w:t>氨氮</w:t>
            </w:r>
          </w:p>
        </w:tc>
        <w:tc>
          <w:tcPr>
            <w:tcW w:w="1484" w:type="dxa"/>
            <w:tcBorders>
              <w:lef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84" w:type="dxa"/>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sz w:val="21"/>
                <w:szCs w:val="21"/>
              </w:rPr>
            </w:pPr>
            <w:r>
              <w:rPr>
                <w:rFonts w:hint="eastAsia"/>
                <w:sz w:val="21"/>
                <w:szCs w:val="21"/>
              </w:rPr>
              <w:t>3</w:t>
            </w:r>
          </w:p>
        </w:tc>
        <w:tc>
          <w:tcPr>
            <w:tcW w:w="1484" w:type="dxa"/>
            <w:tcBorders>
              <w:righ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eastAsia"/>
                <w:sz w:val="21"/>
                <w:szCs w:val="21"/>
              </w:rPr>
            </w:pPr>
            <w:r>
              <w:rPr>
                <w:rFonts w:hint="eastAsia"/>
                <w:sz w:val="21"/>
                <w:szCs w:val="21"/>
              </w:rPr>
              <w:t>SS</w:t>
            </w:r>
          </w:p>
        </w:tc>
        <w:tc>
          <w:tcPr>
            <w:tcW w:w="1484" w:type="dxa"/>
            <w:tcBorders>
              <w:righ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eastAsia"/>
                <w:sz w:val="21"/>
                <w:szCs w:val="21"/>
                <w:lang w:eastAsia="zh-CN"/>
              </w:rPr>
            </w:pPr>
            <w:r>
              <w:rPr>
                <w:rFonts w:hint="eastAsia"/>
                <w:sz w:val="21"/>
                <w:szCs w:val="21"/>
                <w:lang w:val="en-US" w:eastAsia="zh-CN"/>
              </w:rPr>
              <w:t>4</w:t>
            </w:r>
            <w:r>
              <w:rPr>
                <w:rFonts w:hint="eastAsia"/>
                <w:sz w:val="21"/>
                <w:szCs w:val="21"/>
              </w:rPr>
              <w:t>00</w:t>
            </w:r>
          </w:p>
        </w:tc>
        <w:tc>
          <w:tcPr>
            <w:tcW w:w="1484" w:type="dxa"/>
            <w:tcBorders>
              <w:left w:val="single" w:color="auto" w:sz="4" w:space="0"/>
              <w:righ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eastAsia"/>
                <w:sz w:val="21"/>
                <w:szCs w:val="21"/>
                <w:lang w:val="en-US" w:eastAsia="zh-CN"/>
              </w:rPr>
            </w:pPr>
            <w:r>
              <w:rPr>
                <w:rFonts w:hint="eastAsia"/>
                <w:sz w:val="21"/>
                <w:szCs w:val="21"/>
                <w:lang w:val="en-US" w:eastAsia="zh-CN"/>
              </w:rPr>
              <w:t>6</w:t>
            </w:r>
          </w:p>
        </w:tc>
        <w:tc>
          <w:tcPr>
            <w:tcW w:w="1484" w:type="dxa"/>
            <w:tcBorders>
              <w:left w:val="single" w:color="auto" w:sz="4" w:space="0"/>
              <w:righ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eastAsia"/>
                <w:sz w:val="21"/>
                <w:szCs w:val="21"/>
                <w:lang w:val="en-US" w:eastAsia="zh-CN"/>
              </w:rPr>
            </w:pPr>
            <w:r>
              <w:rPr>
                <w:rFonts w:hint="eastAsia"/>
                <w:sz w:val="21"/>
                <w:szCs w:val="21"/>
                <w:lang w:val="en-US" w:eastAsia="zh-CN"/>
              </w:rPr>
              <w:t>动植物油</w:t>
            </w:r>
          </w:p>
        </w:tc>
        <w:tc>
          <w:tcPr>
            <w:tcW w:w="1484" w:type="dxa"/>
            <w:tcBorders>
              <w:left w:val="single" w:color="auto" w:sz="4" w:space="0"/>
            </w:tcBorders>
            <w:noWrap w:val="0"/>
            <w:vAlign w:val="center"/>
          </w:tcPr>
          <w:p>
            <w:pPr>
              <w:pageBreakBefore w:val="0"/>
              <w:widowControl w:val="0"/>
              <w:kinsoku/>
              <w:overflowPunct/>
              <w:topLinePunct w:val="0"/>
              <w:bidi w:val="0"/>
              <w:adjustRightInd w:val="0"/>
              <w:snapToGrid w:val="0"/>
              <w:spacing w:line="240" w:lineRule="auto"/>
              <w:ind w:left="0" w:leftChars="0" w:firstLine="0" w:firstLineChars="0"/>
              <w:jc w:val="center"/>
              <w:textAlignment w:val="auto"/>
              <w:rPr>
                <w:rFonts w:hint="default"/>
                <w:sz w:val="21"/>
                <w:szCs w:val="21"/>
                <w:lang w:val="en-US" w:eastAsia="zh-CN"/>
              </w:rPr>
            </w:pPr>
            <w:r>
              <w:rPr>
                <w:rFonts w:hint="eastAsia"/>
                <w:sz w:val="21"/>
                <w:szCs w:val="21"/>
                <w:lang w:val="en-US" w:eastAsia="zh-CN"/>
              </w:rPr>
              <w:t>100</w:t>
            </w:r>
          </w:p>
        </w:tc>
      </w:tr>
    </w:tbl>
    <w:p>
      <w:pPr>
        <w:pStyle w:val="2"/>
        <w:pageBreakBefore w:val="0"/>
        <w:widowControl w:val="0"/>
        <w:kinsoku/>
        <w:overflowPunct/>
        <w:topLinePunct w:val="0"/>
        <w:bidi w:val="0"/>
        <w:adjustRightInd w:val="0"/>
        <w:snapToGrid w:val="0"/>
        <w:textAlignment w:val="auto"/>
        <w:rPr>
          <w:rFonts w:hint="eastAsia"/>
        </w:rPr>
      </w:pPr>
    </w:p>
    <w:p>
      <w:pPr>
        <w:pStyle w:val="4"/>
        <w:pageBreakBefore w:val="0"/>
        <w:widowControl w:val="0"/>
        <w:kinsoku/>
        <w:overflowPunct/>
        <w:topLinePunct w:val="0"/>
        <w:bidi w:val="0"/>
        <w:adjustRightInd w:val="0"/>
        <w:snapToGrid w:val="0"/>
        <w:textAlignment w:val="auto"/>
      </w:pPr>
      <w:bookmarkStart w:id="207" w:name="_Toc1992_WPSOffice_Level1"/>
      <w:bookmarkStart w:id="208" w:name="_Toc13845_WPSOffice_Level1"/>
      <w:bookmarkStart w:id="209" w:name="_Toc2898"/>
      <w:bookmarkStart w:id="210" w:name="_Toc30412"/>
      <w:bookmarkStart w:id="211" w:name="_Toc19682"/>
      <w:bookmarkStart w:id="212" w:name="_Toc19837"/>
      <w:bookmarkStart w:id="213" w:name="_Toc8779_WPSOffice_Level1"/>
      <w:bookmarkStart w:id="214" w:name="_Toc28676"/>
      <w:bookmarkStart w:id="215" w:name="_Toc15152"/>
      <w:r>
        <w:rPr>
          <w:rFonts w:hint="eastAsia"/>
          <w:lang w:val="en-US" w:eastAsia="zh-CN"/>
        </w:rPr>
        <w:t>8</w:t>
      </w:r>
      <w:r>
        <w:t>.</w:t>
      </w:r>
      <w:r>
        <w:rPr>
          <w:rFonts w:hint="eastAsia"/>
        </w:rPr>
        <w:t>2废气评价标准</w:t>
      </w:r>
      <w:bookmarkEnd w:id="207"/>
      <w:bookmarkEnd w:id="208"/>
      <w:bookmarkEnd w:id="209"/>
      <w:bookmarkEnd w:id="210"/>
      <w:bookmarkEnd w:id="211"/>
      <w:bookmarkEnd w:id="212"/>
      <w:bookmarkEnd w:id="213"/>
      <w:bookmarkEnd w:id="214"/>
      <w:bookmarkEnd w:id="215"/>
    </w:p>
    <w:p>
      <w:pPr>
        <w:pageBreakBefore w:val="0"/>
        <w:widowControl w:val="0"/>
        <w:kinsoku/>
        <w:overflowPunct/>
        <w:topLinePunct w:val="0"/>
        <w:bidi w:val="0"/>
        <w:adjustRightInd w:val="0"/>
        <w:snapToGrid w:val="0"/>
        <w:spacing w:line="360" w:lineRule="auto"/>
        <w:ind w:firstLine="480" w:firstLineChars="200"/>
        <w:jc w:val="left"/>
        <w:textAlignment w:val="auto"/>
      </w:pPr>
      <w:r>
        <w:rPr>
          <w:rFonts w:hint="eastAsia"/>
          <w:color w:val="auto"/>
          <w:sz w:val="24"/>
          <w:highlight w:val="none"/>
        </w:rPr>
        <w:t>本项目</w:t>
      </w:r>
      <w:r>
        <w:rPr>
          <w:rFonts w:hint="eastAsia"/>
          <w:color w:val="auto"/>
          <w:sz w:val="24"/>
          <w:highlight w:val="none"/>
          <w:lang w:eastAsia="zh-CN"/>
        </w:rPr>
        <w:t>营运期排放的工艺废气主要包括二甲苯、漆雾和</w:t>
      </w:r>
      <w:r>
        <w:rPr>
          <w:rFonts w:hint="eastAsia"/>
          <w:color w:val="auto"/>
          <w:sz w:val="24"/>
          <w:highlight w:val="none"/>
          <w:lang w:val="en-US" w:eastAsia="zh-CN"/>
        </w:rPr>
        <w:t>VOCs；项目</w:t>
      </w:r>
      <w:r>
        <w:rPr>
          <w:rFonts w:hint="eastAsia"/>
          <w:color w:val="auto"/>
          <w:sz w:val="24"/>
          <w:highlight w:val="none"/>
        </w:rPr>
        <w:t>所在区域属于大气环境功能区二类区，根据广东省《大气污染物排放限值》（DB44/27-2001）将污染源分为二类控制区。项目</w:t>
      </w:r>
      <w:r>
        <w:rPr>
          <w:rFonts w:hint="eastAsia"/>
          <w:color w:val="auto"/>
          <w:sz w:val="24"/>
          <w:highlight w:val="none"/>
          <w:lang w:eastAsia="zh-CN"/>
        </w:rPr>
        <w:t>颗粒物（漆雾）</w:t>
      </w:r>
      <w:r>
        <w:rPr>
          <w:rFonts w:hint="eastAsia"/>
          <w:color w:val="auto"/>
          <w:sz w:val="24"/>
          <w:highlight w:val="none"/>
        </w:rPr>
        <w:t>执行广东省《大气污染物排放限值》（DB44/27-2001）第二时段二级排放标准</w:t>
      </w:r>
      <w:r>
        <w:rPr>
          <w:rFonts w:hint="eastAsia"/>
          <w:color w:val="auto"/>
          <w:sz w:val="24"/>
          <w:highlight w:val="none"/>
          <w:lang w:eastAsia="zh-CN"/>
        </w:rPr>
        <w:t>；补漆间有机废气（排气筒高约</w:t>
      </w:r>
      <w:r>
        <w:rPr>
          <w:rFonts w:hint="eastAsia"/>
          <w:color w:val="auto"/>
          <w:sz w:val="24"/>
          <w:highlight w:val="none"/>
          <w:lang w:val="en-US" w:eastAsia="zh-CN"/>
        </w:rPr>
        <w:t>20米</w:t>
      </w:r>
      <w:r>
        <w:rPr>
          <w:rFonts w:hint="eastAsia"/>
          <w:color w:val="auto"/>
          <w:sz w:val="24"/>
          <w:highlight w:val="none"/>
          <w:lang w:eastAsia="zh-CN"/>
        </w:rPr>
        <w:t>）参照执行广东省地方标准《表面涂装（汽车制造业）挥发性有机化合物排放标准》（</w:t>
      </w:r>
      <w:r>
        <w:rPr>
          <w:rFonts w:hint="eastAsia"/>
          <w:color w:val="auto"/>
          <w:sz w:val="24"/>
          <w:highlight w:val="none"/>
          <w:lang w:val="en-US" w:eastAsia="zh-CN"/>
        </w:rPr>
        <w:t>DB44/816-2010</w:t>
      </w:r>
      <w:r>
        <w:rPr>
          <w:rFonts w:hint="eastAsia"/>
          <w:color w:val="auto"/>
          <w:sz w:val="24"/>
          <w:highlight w:val="none"/>
          <w:lang w:eastAsia="zh-CN"/>
        </w:rPr>
        <w:t>）第Ⅱ时段甲苯与二甲苯、</w:t>
      </w:r>
      <w:r>
        <w:rPr>
          <w:rFonts w:hint="eastAsia"/>
          <w:color w:val="auto"/>
          <w:sz w:val="24"/>
          <w:highlight w:val="none"/>
          <w:lang w:val="en-US" w:eastAsia="zh-CN"/>
        </w:rPr>
        <w:t>VOCs</w:t>
      </w:r>
      <w:r>
        <w:rPr>
          <w:rFonts w:hint="eastAsia"/>
          <w:color w:val="auto"/>
          <w:sz w:val="24"/>
          <w:highlight w:val="none"/>
          <w:lang w:eastAsia="zh-CN"/>
        </w:rPr>
        <w:t>排气筒</w:t>
      </w:r>
      <w:r>
        <w:rPr>
          <w:rFonts w:hint="eastAsia"/>
          <w:color w:val="auto"/>
          <w:sz w:val="24"/>
          <w:highlight w:val="none"/>
          <w:lang w:val="en-US" w:eastAsia="zh-CN"/>
        </w:rPr>
        <w:t>排放限值及无组织排放监控点浓度限值，</w:t>
      </w:r>
      <w:r>
        <w:rPr>
          <w:rFonts w:hint="eastAsia" w:ascii="Times New Roman" w:hAnsi="Times New Roman" w:cs="Times New Roman"/>
          <w:sz w:val="24"/>
        </w:rPr>
        <w:t>二甲苯排放符合《大气污染物综合排放标准》（GB16297-</w:t>
      </w:r>
      <w:r>
        <w:rPr>
          <w:rFonts w:ascii="Times New Roman" w:hAnsi="Times New Roman" w:cs="Times New Roman"/>
          <w:sz w:val="24"/>
        </w:rPr>
        <w:t>1996</w:t>
      </w:r>
      <w:r>
        <w:rPr>
          <w:rFonts w:hint="eastAsia" w:ascii="Times New Roman" w:hAnsi="Times New Roman" w:cs="Times New Roman"/>
          <w:sz w:val="24"/>
        </w:rPr>
        <w:t>）中相关排放限值</w:t>
      </w:r>
      <w:r>
        <w:rPr>
          <w:rFonts w:hint="eastAsia"/>
          <w:color w:val="auto"/>
          <w:sz w:val="24"/>
          <w:highlight w:val="none"/>
          <w:lang w:val="en-US" w:eastAsia="zh-CN"/>
        </w:rPr>
        <w:t>；</w:t>
      </w:r>
      <w:r>
        <w:rPr>
          <w:rFonts w:hint="default" w:ascii="Times New Roman" w:hAnsi="Times New Roman" w:cs="Times New Roman"/>
          <w:bCs/>
          <w:color w:val="auto"/>
          <w:sz w:val="24"/>
          <w:highlight w:val="none"/>
        </w:rPr>
        <w:t>厨房油烟废气排放符合《饮食业油烟排放标准（试行）》</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GB18483－2001</w:t>
      </w:r>
      <w:r>
        <w:rPr>
          <w:rFonts w:hint="default" w:ascii="Times New Roman" w:hAnsi="Times New Roman" w:cs="Times New Roman"/>
          <w:bCs/>
          <w:color w:val="auto"/>
          <w:sz w:val="24"/>
          <w:highlight w:val="none"/>
          <w:lang w:eastAsia="zh-CN"/>
        </w:rPr>
        <w:t>）中</w:t>
      </w:r>
      <w:r>
        <w:rPr>
          <w:rFonts w:hint="default" w:ascii="Times New Roman" w:hAnsi="Times New Roman" w:cs="Times New Roman"/>
          <w:bCs/>
          <w:color w:val="auto"/>
          <w:sz w:val="24"/>
          <w:highlight w:val="none"/>
        </w:rPr>
        <w:t>型规模标准要求。</w:t>
      </w:r>
      <w:r>
        <w:t>详见表</w:t>
      </w:r>
      <w:r>
        <w:rPr>
          <w:rFonts w:hint="eastAsia"/>
          <w:lang w:val="en-US" w:eastAsia="zh-CN"/>
        </w:rPr>
        <w:t>8.2-1、表8.2-2、表8.2-3和表8.2-4</w:t>
      </w:r>
      <w:r>
        <w:t>。</w:t>
      </w:r>
    </w:p>
    <w:p>
      <w:pPr>
        <w:pStyle w:val="2"/>
      </w:pPr>
    </w:p>
    <w:p>
      <w:pPr>
        <w:snapToGrid w:val="0"/>
        <w:spacing w:line="240" w:lineRule="auto"/>
        <w:jc w:val="center"/>
        <w:rPr>
          <w:rFonts w:eastAsia="黑体"/>
          <w:color w:val="auto"/>
          <w:szCs w:val="21"/>
          <w:highlight w:val="none"/>
        </w:rPr>
      </w:pPr>
      <w:r>
        <w:rPr>
          <w:rFonts w:hint="eastAsia" w:ascii="黑体" w:hAnsi="黑体" w:eastAsia="黑体" w:cs="黑体"/>
          <w:color w:val="auto"/>
          <w:szCs w:val="21"/>
          <w:highlight w:val="none"/>
        </w:rPr>
        <w:t>表</w:t>
      </w:r>
      <w:r>
        <w:rPr>
          <w:rFonts w:hint="eastAsia" w:ascii="黑体" w:hAnsi="黑体" w:eastAsia="黑体" w:cs="黑体"/>
          <w:color w:val="auto"/>
          <w:szCs w:val="21"/>
          <w:highlight w:val="none"/>
          <w:lang w:val="en-US" w:eastAsia="zh-CN"/>
        </w:rPr>
        <w:t>8.2-1</w:t>
      </w:r>
      <w:r>
        <w:rPr>
          <w:rFonts w:hint="eastAsia" w:ascii="黑体" w:hAnsi="黑体" w:eastAsia="黑体" w:cs="黑体"/>
          <w:color w:val="auto"/>
          <w:szCs w:val="21"/>
          <w:highlight w:val="none"/>
        </w:rPr>
        <w:t xml:space="preserve"> 广东省《大气污染物排放限值》（DB44/27-2001）第二时段</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3"/>
        <w:gridCol w:w="1665"/>
        <w:gridCol w:w="1417"/>
        <w:gridCol w:w="1418"/>
        <w:gridCol w:w="2040"/>
        <w:gridCol w:w="18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1063" w:type="dxa"/>
            <w:vMerge w:val="restart"/>
            <w:noWrap w:val="0"/>
            <w:vAlign w:val="center"/>
          </w:tcPr>
          <w:p>
            <w:pPr>
              <w:bidi w:val="0"/>
              <w:spacing w:line="240" w:lineRule="auto"/>
              <w:ind w:left="0" w:leftChars="0" w:firstLine="0" w:firstLineChars="0"/>
              <w:jc w:val="center"/>
              <w:rPr>
                <w:sz w:val="21"/>
                <w:szCs w:val="21"/>
              </w:rPr>
            </w:pPr>
            <w:r>
              <w:rPr>
                <w:sz w:val="21"/>
                <w:szCs w:val="21"/>
              </w:rPr>
              <w:t>污染物</w:t>
            </w:r>
          </w:p>
        </w:tc>
        <w:tc>
          <w:tcPr>
            <w:tcW w:w="1665" w:type="dxa"/>
            <w:vMerge w:val="restart"/>
            <w:noWrap w:val="0"/>
            <w:vAlign w:val="center"/>
          </w:tcPr>
          <w:p>
            <w:pPr>
              <w:bidi w:val="0"/>
              <w:spacing w:line="240" w:lineRule="auto"/>
              <w:ind w:left="0" w:leftChars="0" w:firstLine="0" w:firstLineChars="0"/>
              <w:jc w:val="center"/>
              <w:rPr>
                <w:sz w:val="21"/>
                <w:szCs w:val="21"/>
              </w:rPr>
            </w:pPr>
            <w:r>
              <w:rPr>
                <w:sz w:val="21"/>
                <w:szCs w:val="21"/>
              </w:rPr>
              <w:t>最高允许排放浓度mg/m</w:t>
            </w:r>
            <w:r>
              <w:rPr>
                <w:sz w:val="21"/>
                <w:szCs w:val="21"/>
                <w:vertAlign w:val="superscript"/>
              </w:rPr>
              <w:t>3</w:t>
            </w:r>
          </w:p>
        </w:tc>
        <w:tc>
          <w:tcPr>
            <w:tcW w:w="2835" w:type="dxa"/>
            <w:gridSpan w:val="2"/>
            <w:noWrap w:val="0"/>
            <w:vAlign w:val="center"/>
          </w:tcPr>
          <w:p>
            <w:pPr>
              <w:bidi w:val="0"/>
              <w:spacing w:line="240" w:lineRule="auto"/>
              <w:ind w:left="0" w:leftChars="0" w:firstLine="0" w:firstLineChars="0"/>
              <w:jc w:val="center"/>
              <w:rPr>
                <w:sz w:val="21"/>
                <w:szCs w:val="21"/>
              </w:rPr>
            </w:pPr>
            <w:r>
              <w:rPr>
                <w:sz w:val="21"/>
                <w:szCs w:val="21"/>
              </w:rPr>
              <w:t>最高允许排放速率kg/h</w:t>
            </w:r>
          </w:p>
        </w:tc>
        <w:tc>
          <w:tcPr>
            <w:tcW w:w="3913" w:type="dxa"/>
            <w:gridSpan w:val="2"/>
            <w:noWrap w:val="0"/>
            <w:vAlign w:val="center"/>
          </w:tcPr>
          <w:p>
            <w:pPr>
              <w:bidi w:val="0"/>
              <w:spacing w:line="240" w:lineRule="auto"/>
              <w:ind w:left="0" w:leftChars="0" w:firstLine="0" w:firstLineChars="0"/>
              <w:jc w:val="center"/>
              <w:rPr>
                <w:sz w:val="21"/>
                <w:szCs w:val="21"/>
              </w:rPr>
            </w:pPr>
            <w:r>
              <w:rPr>
                <w:sz w:val="21"/>
                <w:szCs w:val="21"/>
              </w:rPr>
              <w:t>无组织排放监控浓度限值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1063" w:type="dxa"/>
            <w:vMerge w:val="continue"/>
            <w:noWrap w:val="0"/>
            <w:vAlign w:val="center"/>
          </w:tcPr>
          <w:p>
            <w:pPr>
              <w:bidi w:val="0"/>
              <w:spacing w:line="240" w:lineRule="auto"/>
              <w:jc w:val="center"/>
              <w:rPr>
                <w:sz w:val="21"/>
                <w:szCs w:val="21"/>
              </w:rPr>
            </w:pPr>
          </w:p>
        </w:tc>
        <w:tc>
          <w:tcPr>
            <w:tcW w:w="1665" w:type="dxa"/>
            <w:vMerge w:val="continue"/>
            <w:noWrap w:val="0"/>
            <w:vAlign w:val="center"/>
          </w:tcPr>
          <w:p>
            <w:pPr>
              <w:bidi w:val="0"/>
              <w:spacing w:line="240" w:lineRule="auto"/>
              <w:jc w:val="center"/>
              <w:rPr>
                <w:sz w:val="21"/>
                <w:szCs w:val="21"/>
              </w:rPr>
            </w:pPr>
          </w:p>
        </w:tc>
        <w:tc>
          <w:tcPr>
            <w:tcW w:w="1417" w:type="dxa"/>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二级</w:t>
            </w:r>
          </w:p>
        </w:tc>
        <w:tc>
          <w:tcPr>
            <w:tcW w:w="1418" w:type="dxa"/>
            <w:noWrap w:val="0"/>
            <w:vAlign w:val="center"/>
          </w:tcPr>
          <w:p>
            <w:pPr>
              <w:bidi w:val="0"/>
              <w:spacing w:line="240" w:lineRule="auto"/>
              <w:ind w:left="0" w:leftChars="0" w:firstLine="0" w:firstLineChars="0"/>
              <w:jc w:val="center"/>
              <w:rPr>
                <w:sz w:val="21"/>
                <w:szCs w:val="21"/>
              </w:rPr>
            </w:pPr>
            <w:r>
              <w:rPr>
                <w:sz w:val="21"/>
                <w:szCs w:val="21"/>
              </w:rPr>
              <w:t>二级50％</w:t>
            </w:r>
          </w:p>
        </w:tc>
        <w:tc>
          <w:tcPr>
            <w:tcW w:w="2040" w:type="dxa"/>
            <w:noWrap w:val="0"/>
            <w:vAlign w:val="center"/>
          </w:tcPr>
          <w:p>
            <w:pPr>
              <w:bidi w:val="0"/>
              <w:spacing w:line="240" w:lineRule="auto"/>
              <w:ind w:left="0" w:leftChars="0" w:firstLine="0" w:firstLineChars="0"/>
              <w:jc w:val="center"/>
              <w:rPr>
                <w:sz w:val="21"/>
                <w:szCs w:val="21"/>
              </w:rPr>
            </w:pPr>
            <w:r>
              <w:rPr>
                <w:sz w:val="21"/>
                <w:szCs w:val="21"/>
              </w:rPr>
              <w:t>监控点</w:t>
            </w:r>
          </w:p>
        </w:tc>
        <w:tc>
          <w:tcPr>
            <w:tcW w:w="1873" w:type="dxa"/>
            <w:noWrap w:val="0"/>
            <w:vAlign w:val="center"/>
          </w:tcPr>
          <w:p>
            <w:pPr>
              <w:bidi w:val="0"/>
              <w:spacing w:line="240" w:lineRule="auto"/>
              <w:ind w:left="0" w:leftChars="0" w:firstLine="0" w:firstLineChars="0"/>
              <w:jc w:val="center"/>
              <w:rPr>
                <w:sz w:val="21"/>
                <w:szCs w:val="21"/>
              </w:rPr>
            </w:pPr>
            <w:r>
              <w:rPr>
                <w:sz w:val="21"/>
                <w:szCs w:val="21"/>
              </w:rPr>
              <w:t>浓度mg/m3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1063" w:type="dxa"/>
            <w:shd w:val="clear" w:color="auto" w:fill="FFFFFF"/>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颗粒物</w:t>
            </w:r>
          </w:p>
        </w:tc>
        <w:tc>
          <w:tcPr>
            <w:tcW w:w="1665" w:type="dxa"/>
            <w:shd w:val="clear" w:color="auto" w:fill="FFFFFF"/>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120</w:t>
            </w:r>
          </w:p>
        </w:tc>
        <w:tc>
          <w:tcPr>
            <w:tcW w:w="1417" w:type="dxa"/>
            <w:tcBorders>
              <w:right w:val="single" w:color="auto" w:sz="4" w:space="0"/>
            </w:tcBorders>
            <w:shd w:val="clear" w:color="auto" w:fill="FFFFFF"/>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2.9</w:t>
            </w:r>
          </w:p>
        </w:tc>
        <w:tc>
          <w:tcPr>
            <w:tcW w:w="1418" w:type="dxa"/>
            <w:tcBorders>
              <w:left w:val="single" w:color="auto" w:sz="4" w:space="0"/>
            </w:tcBorders>
            <w:shd w:val="clear" w:color="auto" w:fill="FFFFFF"/>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1.45</w:t>
            </w:r>
          </w:p>
        </w:tc>
        <w:tc>
          <w:tcPr>
            <w:tcW w:w="2040" w:type="dxa"/>
            <w:shd w:val="clear" w:color="auto" w:fill="auto"/>
            <w:noWrap w:val="0"/>
            <w:vAlign w:val="center"/>
          </w:tcPr>
          <w:p>
            <w:pPr>
              <w:bidi w:val="0"/>
              <w:spacing w:line="240" w:lineRule="auto"/>
              <w:ind w:left="0" w:leftChars="0" w:firstLine="0" w:firstLineChars="0"/>
              <w:jc w:val="center"/>
              <w:rPr>
                <w:sz w:val="21"/>
                <w:szCs w:val="21"/>
              </w:rPr>
            </w:pPr>
            <w:r>
              <w:rPr>
                <w:sz w:val="21"/>
                <w:szCs w:val="21"/>
              </w:rPr>
              <w:t>周界外浓度最高点</w:t>
            </w:r>
          </w:p>
        </w:tc>
        <w:tc>
          <w:tcPr>
            <w:tcW w:w="1873" w:type="dxa"/>
            <w:tcBorders>
              <w:top w:val="single" w:color="auto" w:sz="4" w:space="0"/>
              <w:bottom w:val="single" w:color="auto" w:sz="4" w:space="0"/>
            </w:tcBorders>
            <w:shd w:val="clear" w:color="auto" w:fill="FFFFFF"/>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1.0</w:t>
            </w:r>
          </w:p>
        </w:tc>
      </w:tr>
    </w:tbl>
    <w:p>
      <w:pPr>
        <w:snapToGrid w:val="0"/>
        <w:spacing w:line="240" w:lineRule="auto"/>
        <w:jc w:val="center"/>
        <w:rPr>
          <w:rFonts w:hint="eastAsia" w:ascii="黑体" w:hAnsi="黑体" w:eastAsia="黑体" w:cs="黑体"/>
          <w:color w:val="auto"/>
          <w:szCs w:val="21"/>
          <w:highlight w:val="none"/>
        </w:rPr>
      </w:pPr>
    </w:p>
    <w:p>
      <w:pPr>
        <w:snapToGrid w:val="0"/>
        <w:spacing w:line="240" w:lineRule="auto"/>
        <w:jc w:val="center"/>
        <w:rPr>
          <w:rFonts w:hint="eastAsia" w:ascii="黑体" w:hAnsi="黑体" w:eastAsia="黑体" w:cs="黑体"/>
          <w:color w:val="auto"/>
          <w:szCs w:val="21"/>
          <w:highlight w:val="none"/>
        </w:rPr>
      </w:pPr>
    </w:p>
    <w:p>
      <w:pPr>
        <w:snapToGrid w:val="0"/>
        <w:spacing w:line="240" w:lineRule="auto"/>
        <w:ind w:left="0" w:leftChars="0" w:firstLine="0" w:firstLineChars="0"/>
        <w:jc w:val="center"/>
        <w:rPr>
          <w:rFonts w:hint="eastAsia" w:eastAsia="黑体"/>
          <w:color w:val="auto"/>
          <w:szCs w:val="21"/>
          <w:highlight w:val="none"/>
          <w:lang w:eastAsia="zh-CN"/>
        </w:rPr>
      </w:pPr>
      <w:r>
        <w:rPr>
          <w:rFonts w:hint="eastAsia" w:ascii="黑体" w:hAnsi="黑体" w:eastAsia="黑体" w:cs="黑体"/>
          <w:color w:val="auto"/>
          <w:szCs w:val="21"/>
          <w:highlight w:val="none"/>
        </w:rPr>
        <w:t>表</w:t>
      </w:r>
      <w:r>
        <w:rPr>
          <w:rFonts w:hint="eastAsia" w:ascii="黑体" w:hAnsi="黑体" w:eastAsia="黑体" w:cs="黑体"/>
          <w:color w:val="auto"/>
          <w:szCs w:val="21"/>
          <w:highlight w:val="none"/>
          <w:lang w:val="en-US" w:eastAsia="zh-CN"/>
        </w:rPr>
        <w:t>8.2-2</w:t>
      </w:r>
      <w:r>
        <w:rPr>
          <w:rFonts w:hint="eastAsia" w:ascii="黑体" w:hAnsi="黑体" w:eastAsia="黑体" w:cs="黑体"/>
          <w:color w:val="auto"/>
          <w:szCs w:val="21"/>
          <w:highlight w:val="none"/>
        </w:rPr>
        <w:t xml:space="preserve"> </w:t>
      </w:r>
      <w:bookmarkStart w:id="216" w:name="OLE_LINK24"/>
      <w:bookmarkStart w:id="217" w:name="OLE_LINK25"/>
      <w:r>
        <w:rPr>
          <w:rFonts w:hint="eastAsia" w:ascii="黑体" w:hAnsi="黑体" w:eastAsia="黑体" w:cs="黑体"/>
          <w:color w:val="auto"/>
          <w:szCs w:val="21"/>
          <w:highlight w:val="none"/>
        </w:rPr>
        <w:t>广东省</w:t>
      </w:r>
      <w:bookmarkEnd w:id="216"/>
      <w:bookmarkEnd w:id="217"/>
      <w:r>
        <w:rPr>
          <w:rFonts w:hint="eastAsia" w:ascii="黑体" w:hAnsi="黑体" w:eastAsia="黑体" w:cs="黑体"/>
          <w:color w:val="auto"/>
          <w:szCs w:val="21"/>
          <w:highlight w:val="none"/>
        </w:rPr>
        <w:t>表面涂装（汽车制造业）挥发性有机化合物排放标准》（DB44/816-2010</w:t>
      </w:r>
      <w:r>
        <w:rPr>
          <w:rFonts w:hint="eastAsia" w:ascii="黑体" w:hAnsi="黑体" w:eastAsia="黑体" w:cs="黑体"/>
          <w:color w:val="auto"/>
          <w:szCs w:val="21"/>
          <w:highlight w:val="none"/>
          <w:lang w:eastAsia="zh-CN"/>
        </w:rPr>
        <w:t>）</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59"/>
        <w:gridCol w:w="2610"/>
        <w:gridCol w:w="1395"/>
        <w:gridCol w:w="1665"/>
        <w:gridCol w:w="22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1559" w:type="dxa"/>
            <w:vMerge w:val="restart"/>
            <w:noWrap w:val="0"/>
            <w:vAlign w:val="center"/>
          </w:tcPr>
          <w:p>
            <w:pPr>
              <w:spacing w:before="48" w:beforeLines="20" w:after="48" w:afterLines="20" w:line="240" w:lineRule="auto"/>
              <w:ind w:left="0" w:leftChars="0" w:firstLine="0" w:firstLineChars="0"/>
              <w:jc w:val="center"/>
              <w:rPr>
                <w:b w:val="0"/>
                <w:bCs/>
                <w:color w:val="auto"/>
                <w:sz w:val="21"/>
                <w:szCs w:val="21"/>
                <w:highlight w:val="none"/>
              </w:rPr>
            </w:pPr>
            <w:r>
              <w:rPr>
                <w:b w:val="0"/>
                <w:bCs/>
                <w:color w:val="auto"/>
                <w:sz w:val="21"/>
                <w:szCs w:val="21"/>
                <w:highlight w:val="none"/>
              </w:rPr>
              <w:t>污染物</w:t>
            </w:r>
          </w:p>
        </w:tc>
        <w:tc>
          <w:tcPr>
            <w:tcW w:w="2610" w:type="dxa"/>
            <w:vMerge w:val="restart"/>
            <w:noWrap w:val="0"/>
            <w:vAlign w:val="center"/>
          </w:tcPr>
          <w:p>
            <w:pPr>
              <w:spacing w:before="48" w:beforeLines="20" w:after="48" w:afterLines="20" w:line="240" w:lineRule="auto"/>
              <w:ind w:left="0" w:leftChars="0" w:firstLine="0" w:firstLineChars="0"/>
              <w:jc w:val="center"/>
              <w:rPr>
                <w:b w:val="0"/>
                <w:bCs/>
                <w:color w:val="auto"/>
                <w:sz w:val="21"/>
                <w:szCs w:val="21"/>
                <w:highlight w:val="none"/>
              </w:rPr>
            </w:pPr>
            <w:r>
              <w:rPr>
                <w:b w:val="0"/>
                <w:bCs/>
                <w:color w:val="auto"/>
                <w:sz w:val="21"/>
                <w:szCs w:val="21"/>
                <w:highlight w:val="none"/>
              </w:rPr>
              <w:t>最高允许排放浓度mg/m</w:t>
            </w:r>
            <w:r>
              <w:rPr>
                <w:b w:val="0"/>
                <w:bCs/>
                <w:color w:val="auto"/>
                <w:sz w:val="21"/>
                <w:szCs w:val="21"/>
                <w:highlight w:val="none"/>
                <w:vertAlign w:val="superscript"/>
              </w:rPr>
              <w:t>3</w:t>
            </w:r>
          </w:p>
        </w:tc>
        <w:tc>
          <w:tcPr>
            <w:tcW w:w="3060" w:type="dxa"/>
            <w:gridSpan w:val="2"/>
            <w:tcBorders>
              <w:bottom w:val="single" w:color="auto" w:sz="4" w:space="0"/>
            </w:tcBorders>
            <w:noWrap w:val="0"/>
            <w:vAlign w:val="center"/>
          </w:tcPr>
          <w:p>
            <w:pPr>
              <w:spacing w:before="48" w:beforeLines="20" w:after="48" w:afterLines="20" w:line="240" w:lineRule="auto"/>
              <w:ind w:left="0" w:leftChars="0" w:firstLine="0" w:firstLineChars="0"/>
              <w:jc w:val="center"/>
              <w:rPr>
                <w:b w:val="0"/>
                <w:bCs/>
                <w:color w:val="auto"/>
                <w:sz w:val="21"/>
                <w:szCs w:val="21"/>
                <w:highlight w:val="none"/>
              </w:rPr>
            </w:pPr>
            <w:r>
              <w:rPr>
                <w:b w:val="0"/>
                <w:bCs/>
                <w:color w:val="auto"/>
                <w:sz w:val="21"/>
                <w:szCs w:val="21"/>
                <w:highlight w:val="none"/>
              </w:rPr>
              <w:t>最高允许排放速率kg/h</w:t>
            </w:r>
          </w:p>
        </w:tc>
        <w:tc>
          <w:tcPr>
            <w:tcW w:w="2219" w:type="dxa"/>
            <w:vMerge w:val="restart"/>
            <w:noWrap w:val="0"/>
            <w:vAlign w:val="center"/>
          </w:tcPr>
          <w:p>
            <w:pPr>
              <w:spacing w:before="48" w:beforeLines="20" w:after="48" w:afterLines="20" w:line="240" w:lineRule="auto"/>
              <w:ind w:left="0" w:leftChars="0" w:firstLine="0" w:firstLineChars="0"/>
              <w:jc w:val="center"/>
              <w:rPr>
                <w:b w:val="0"/>
                <w:bCs/>
                <w:color w:val="auto"/>
                <w:sz w:val="21"/>
                <w:szCs w:val="21"/>
                <w:highlight w:val="none"/>
              </w:rPr>
            </w:pPr>
            <w:r>
              <w:rPr>
                <w:b w:val="0"/>
                <w:bCs/>
                <w:color w:val="auto"/>
                <w:sz w:val="21"/>
                <w:szCs w:val="21"/>
                <w:highlight w:val="none"/>
              </w:rPr>
              <w:t>无组织排放监控</w:t>
            </w:r>
            <w:r>
              <w:rPr>
                <w:rFonts w:hint="eastAsia"/>
                <w:b w:val="0"/>
                <w:bCs/>
                <w:color w:val="auto"/>
                <w:sz w:val="21"/>
                <w:szCs w:val="21"/>
                <w:highlight w:val="none"/>
                <w:lang w:eastAsia="zh-CN"/>
              </w:rPr>
              <w:t>点</w:t>
            </w:r>
            <w:r>
              <w:rPr>
                <w:b w:val="0"/>
                <w:bCs/>
                <w:color w:val="auto"/>
                <w:sz w:val="21"/>
                <w:szCs w:val="21"/>
                <w:highlight w:val="none"/>
              </w:rPr>
              <w:t>浓度限值mg/m</w:t>
            </w:r>
            <w:r>
              <w:rPr>
                <w:b w:val="0"/>
                <w:bCs/>
                <w:color w:val="auto"/>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1559" w:type="dxa"/>
            <w:vMerge w:val="continue"/>
            <w:noWrap w:val="0"/>
            <w:vAlign w:val="center"/>
          </w:tcPr>
          <w:p>
            <w:pPr>
              <w:spacing w:before="48" w:beforeLines="20" w:after="48" w:afterLines="20" w:line="240" w:lineRule="auto"/>
              <w:jc w:val="center"/>
              <w:rPr>
                <w:b w:val="0"/>
                <w:bCs/>
                <w:color w:val="auto"/>
                <w:sz w:val="21"/>
                <w:szCs w:val="21"/>
                <w:highlight w:val="none"/>
              </w:rPr>
            </w:pPr>
          </w:p>
        </w:tc>
        <w:tc>
          <w:tcPr>
            <w:tcW w:w="2610" w:type="dxa"/>
            <w:vMerge w:val="continue"/>
            <w:noWrap w:val="0"/>
            <w:vAlign w:val="center"/>
          </w:tcPr>
          <w:p>
            <w:pPr>
              <w:spacing w:before="48" w:beforeLines="20" w:after="48" w:afterLines="20" w:line="240" w:lineRule="auto"/>
              <w:jc w:val="center"/>
              <w:rPr>
                <w:b w:val="0"/>
                <w:bCs/>
                <w:color w:val="auto"/>
                <w:sz w:val="21"/>
                <w:szCs w:val="21"/>
                <w:highlight w:val="none"/>
              </w:rPr>
            </w:pPr>
          </w:p>
        </w:tc>
        <w:tc>
          <w:tcPr>
            <w:tcW w:w="1395" w:type="dxa"/>
            <w:tcBorders>
              <w:top w:val="single" w:color="auto" w:sz="4" w:space="0"/>
              <w:right w:val="single" w:color="auto" w:sz="4" w:space="0"/>
            </w:tcBorders>
            <w:noWrap w:val="0"/>
            <w:vAlign w:val="center"/>
          </w:tcPr>
          <w:p>
            <w:pPr>
              <w:spacing w:before="48" w:beforeLines="20" w:after="48" w:afterLines="20" w:line="240" w:lineRule="auto"/>
              <w:ind w:left="0" w:leftChars="0" w:firstLine="0" w:firstLineChars="0"/>
              <w:jc w:val="center"/>
              <w:rPr>
                <w:rFonts w:hint="eastAsia" w:eastAsia="宋体"/>
                <w:b w:val="0"/>
                <w:bCs/>
                <w:color w:val="auto"/>
                <w:sz w:val="21"/>
                <w:szCs w:val="21"/>
                <w:highlight w:val="none"/>
                <w:lang w:eastAsia="zh-CN"/>
              </w:rPr>
            </w:pPr>
            <w:r>
              <w:rPr>
                <w:rFonts w:hint="eastAsia"/>
                <w:b w:val="0"/>
                <w:bCs/>
                <w:color w:val="auto"/>
                <w:sz w:val="21"/>
                <w:szCs w:val="21"/>
                <w:highlight w:val="none"/>
                <w:lang w:eastAsia="zh-CN"/>
              </w:rPr>
              <w:t>限值</w:t>
            </w:r>
          </w:p>
        </w:tc>
        <w:tc>
          <w:tcPr>
            <w:tcW w:w="1665" w:type="dxa"/>
            <w:tcBorders>
              <w:top w:val="single" w:color="auto" w:sz="4" w:space="0"/>
              <w:left w:val="single" w:color="auto" w:sz="4" w:space="0"/>
            </w:tcBorders>
            <w:noWrap w:val="0"/>
            <w:vAlign w:val="center"/>
          </w:tcPr>
          <w:p>
            <w:pPr>
              <w:spacing w:before="48" w:beforeLines="20" w:after="48" w:afterLines="20" w:line="240" w:lineRule="auto"/>
              <w:ind w:left="0" w:leftChars="0" w:firstLine="0" w:firstLineChars="0"/>
              <w:jc w:val="center"/>
              <w:rPr>
                <w:rFonts w:hint="eastAsia" w:eastAsia="宋体"/>
                <w:b w:val="0"/>
                <w:bCs/>
                <w:color w:val="auto"/>
                <w:sz w:val="21"/>
                <w:szCs w:val="21"/>
                <w:highlight w:val="none"/>
                <w:lang w:eastAsia="zh-CN"/>
              </w:rPr>
            </w:pPr>
            <w:r>
              <w:rPr>
                <w:rFonts w:hint="eastAsia"/>
                <w:b w:val="0"/>
                <w:bCs/>
                <w:color w:val="auto"/>
                <w:sz w:val="21"/>
                <w:szCs w:val="21"/>
                <w:highlight w:val="none"/>
                <w:lang w:eastAsia="zh-CN"/>
              </w:rPr>
              <w:t>限值的</w:t>
            </w:r>
            <w:r>
              <w:rPr>
                <w:rFonts w:hint="eastAsia"/>
                <w:b w:val="0"/>
                <w:bCs/>
                <w:color w:val="auto"/>
                <w:sz w:val="21"/>
                <w:szCs w:val="21"/>
                <w:highlight w:val="none"/>
                <w:lang w:val="en-US" w:eastAsia="zh-CN"/>
              </w:rPr>
              <w:t>50%</w:t>
            </w:r>
          </w:p>
        </w:tc>
        <w:tc>
          <w:tcPr>
            <w:tcW w:w="2219" w:type="dxa"/>
            <w:vMerge w:val="continue"/>
            <w:noWrap w:val="0"/>
            <w:vAlign w:val="center"/>
          </w:tcPr>
          <w:p>
            <w:pPr>
              <w:spacing w:before="48" w:beforeLines="20" w:after="48" w:afterLines="20" w:line="240" w:lineRule="auto"/>
              <w:jc w:val="center"/>
              <w:rPr>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1559" w:type="dxa"/>
            <w:vMerge w:val="restart"/>
            <w:shd w:val="clear" w:color="auto" w:fill="FFFFFF"/>
            <w:noWrap w:val="0"/>
            <w:vAlign w:val="center"/>
          </w:tcPr>
          <w:p>
            <w:pPr>
              <w:spacing w:before="48" w:beforeLines="20" w:after="48" w:afterLines="20" w:line="240" w:lineRule="auto"/>
              <w:ind w:left="0" w:leftChars="0" w:firstLine="0" w:firstLineChars="0"/>
              <w:jc w:val="center"/>
              <w:rPr>
                <w:rFonts w:hint="eastAsia"/>
                <w:b w:val="0"/>
                <w:bCs/>
                <w:color w:val="auto"/>
                <w:sz w:val="21"/>
                <w:szCs w:val="21"/>
                <w:highlight w:val="none"/>
                <w:lang w:eastAsia="zh-CN"/>
              </w:rPr>
            </w:pPr>
            <w:r>
              <w:rPr>
                <w:rFonts w:hint="eastAsia"/>
                <w:b w:val="0"/>
                <w:bCs/>
                <w:color w:val="auto"/>
                <w:sz w:val="21"/>
                <w:szCs w:val="21"/>
                <w:highlight w:val="none"/>
                <w:lang w:eastAsia="zh-CN"/>
              </w:rPr>
              <w:t>甲苯与二甲苯合计</w:t>
            </w:r>
          </w:p>
        </w:tc>
        <w:tc>
          <w:tcPr>
            <w:tcW w:w="2610" w:type="dxa"/>
            <w:vMerge w:val="restart"/>
            <w:shd w:val="clear" w:color="auto" w:fill="FFFFFF"/>
            <w:noWrap w:val="0"/>
            <w:vAlign w:val="center"/>
          </w:tcPr>
          <w:p>
            <w:pPr>
              <w:spacing w:before="48" w:beforeLines="20" w:after="48" w:afterLines="20" w:line="240" w:lineRule="auto"/>
              <w:ind w:left="0" w:leftChars="0" w:firstLine="0" w:firstLineChars="0"/>
              <w:jc w:val="center"/>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18</w:t>
            </w:r>
          </w:p>
        </w:tc>
        <w:tc>
          <w:tcPr>
            <w:tcW w:w="1395" w:type="dxa"/>
            <w:vMerge w:val="restart"/>
            <w:tcBorders>
              <w:right w:val="single" w:color="auto" w:sz="4" w:space="0"/>
            </w:tcBorders>
            <w:shd w:val="clear" w:color="auto" w:fill="FFFFFF"/>
            <w:noWrap w:val="0"/>
            <w:vAlign w:val="center"/>
          </w:tcPr>
          <w:p>
            <w:pPr>
              <w:spacing w:before="48" w:beforeLines="20" w:after="48" w:afterLines="20" w:line="240" w:lineRule="auto"/>
              <w:ind w:left="0" w:leftChars="0" w:firstLine="0" w:firstLineChars="0"/>
              <w:jc w:val="center"/>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3.50</w:t>
            </w:r>
          </w:p>
        </w:tc>
        <w:tc>
          <w:tcPr>
            <w:tcW w:w="1665" w:type="dxa"/>
            <w:vMerge w:val="restart"/>
            <w:tcBorders>
              <w:left w:val="single" w:color="auto" w:sz="4" w:space="0"/>
            </w:tcBorders>
            <w:shd w:val="clear" w:color="auto" w:fill="FFFFFF"/>
            <w:noWrap w:val="0"/>
            <w:vAlign w:val="center"/>
          </w:tcPr>
          <w:p>
            <w:pPr>
              <w:spacing w:before="48" w:beforeLines="20" w:after="48" w:afterLines="20" w:line="240" w:lineRule="auto"/>
              <w:ind w:left="0" w:leftChars="0" w:firstLine="0" w:firstLineChars="0"/>
              <w:jc w:val="center"/>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1.75</w:t>
            </w:r>
          </w:p>
        </w:tc>
        <w:tc>
          <w:tcPr>
            <w:tcW w:w="2219" w:type="dxa"/>
            <w:tcBorders>
              <w:top w:val="single" w:color="auto" w:sz="4" w:space="0"/>
            </w:tcBorders>
            <w:noWrap w:val="0"/>
            <w:vAlign w:val="center"/>
          </w:tcPr>
          <w:p>
            <w:pPr>
              <w:spacing w:before="48" w:beforeLines="20" w:after="48" w:afterLines="20" w:line="240" w:lineRule="auto"/>
              <w:ind w:left="0" w:leftChars="0" w:firstLine="0" w:firstLineChars="0"/>
              <w:jc w:val="center"/>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甲苯0.6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1559" w:type="dxa"/>
            <w:vMerge w:val="continue"/>
            <w:shd w:val="clear" w:color="auto" w:fill="FFFFFF"/>
            <w:noWrap w:val="0"/>
            <w:vAlign w:val="center"/>
          </w:tcPr>
          <w:p>
            <w:pPr>
              <w:spacing w:before="48" w:beforeLines="20" w:after="48" w:afterLines="20" w:line="240" w:lineRule="auto"/>
              <w:ind w:left="0" w:leftChars="0" w:firstLine="0" w:firstLineChars="0"/>
              <w:jc w:val="center"/>
              <w:rPr>
                <w:b w:val="0"/>
                <w:bCs/>
                <w:color w:val="auto"/>
                <w:sz w:val="21"/>
                <w:szCs w:val="21"/>
                <w:highlight w:val="none"/>
              </w:rPr>
            </w:pPr>
          </w:p>
        </w:tc>
        <w:tc>
          <w:tcPr>
            <w:tcW w:w="2610" w:type="dxa"/>
            <w:vMerge w:val="continue"/>
            <w:shd w:val="clear" w:color="auto" w:fill="FFFFFF"/>
            <w:noWrap w:val="0"/>
            <w:vAlign w:val="center"/>
          </w:tcPr>
          <w:p>
            <w:pPr>
              <w:spacing w:before="48" w:beforeLines="20" w:after="48" w:afterLines="20" w:line="240" w:lineRule="auto"/>
              <w:ind w:left="0" w:leftChars="0" w:firstLine="0" w:firstLineChars="0"/>
              <w:jc w:val="center"/>
              <w:rPr>
                <w:b w:val="0"/>
                <w:bCs/>
                <w:color w:val="auto"/>
                <w:sz w:val="21"/>
                <w:szCs w:val="21"/>
                <w:highlight w:val="none"/>
              </w:rPr>
            </w:pPr>
          </w:p>
        </w:tc>
        <w:tc>
          <w:tcPr>
            <w:tcW w:w="1395" w:type="dxa"/>
            <w:vMerge w:val="continue"/>
            <w:tcBorders>
              <w:right w:val="single" w:color="auto" w:sz="4" w:space="0"/>
            </w:tcBorders>
            <w:shd w:val="clear" w:color="auto" w:fill="FFFFFF"/>
            <w:noWrap w:val="0"/>
            <w:vAlign w:val="center"/>
          </w:tcPr>
          <w:p>
            <w:pPr>
              <w:spacing w:before="48" w:beforeLines="20" w:after="48" w:afterLines="20" w:line="240" w:lineRule="auto"/>
              <w:ind w:left="0" w:leftChars="0" w:firstLine="0" w:firstLineChars="0"/>
              <w:jc w:val="center"/>
              <w:rPr>
                <w:rFonts w:hint="eastAsia"/>
                <w:b w:val="0"/>
                <w:bCs/>
                <w:color w:val="auto"/>
                <w:sz w:val="21"/>
                <w:szCs w:val="21"/>
                <w:highlight w:val="none"/>
                <w:lang w:val="en-US" w:eastAsia="zh-CN"/>
              </w:rPr>
            </w:pPr>
          </w:p>
        </w:tc>
        <w:tc>
          <w:tcPr>
            <w:tcW w:w="1665" w:type="dxa"/>
            <w:vMerge w:val="continue"/>
            <w:tcBorders>
              <w:left w:val="single" w:color="auto" w:sz="4" w:space="0"/>
            </w:tcBorders>
            <w:shd w:val="clear" w:color="auto" w:fill="FFFFFF"/>
            <w:noWrap w:val="0"/>
            <w:vAlign w:val="center"/>
          </w:tcPr>
          <w:p>
            <w:pPr>
              <w:spacing w:before="48" w:beforeLines="20" w:after="48" w:afterLines="20" w:line="240" w:lineRule="auto"/>
              <w:ind w:left="0" w:leftChars="0" w:firstLine="0" w:firstLineChars="0"/>
              <w:jc w:val="center"/>
              <w:rPr>
                <w:b w:val="0"/>
                <w:bCs/>
                <w:color w:val="auto"/>
                <w:sz w:val="21"/>
                <w:szCs w:val="21"/>
                <w:highlight w:val="none"/>
              </w:rPr>
            </w:pPr>
          </w:p>
        </w:tc>
        <w:tc>
          <w:tcPr>
            <w:tcW w:w="2219" w:type="dxa"/>
            <w:tcBorders>
              <w:top w:val="single" w:color="auto" w:sz="4" w:space="0"/>
            </w:tcBorders>
            <w:noWrap w:val="0"/>
            <w:vAlign w:val="center"/>
          </w:tcPr>
          <w:p>
            <w:pPr>
              <w:spacing w:before="48" w:beforeLines="20" w:after="48" w:afterLines="20" w:line="240" w:lineRule="auto"/>
              <w:ind w:left="0" w:leftChars="0" w:firstLine="0" w:firstLineChars="0"/>
              <w:jc w:val="center"/>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二甲苯0.2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1559" w:type="dxa"/>
            <w:shd w:val="clear" w:color="auto" w:fill="FFFFFF"/>
            <w:noWrap w:val="0"/>
            <w:vAlign w:val="center"/>
          </w:tcPr>
          <w:p>
            <w:pPr>
              <w:spacing w:before="48" w:beforeLines="20" w:after="48" w:afterLines="20" w:line="240" w:lineRule="auto"/>
              <w:ind w:left="0" w:leftChars="0" w:firstLine="0" w:firstLineChars="0"/>
              <w:jc w:val="center"/>
              <w:rPr>
                <w:rFonts w:hint="eastAsia"/>
                <w:b w:val="0"/>
                <w:bCs/>
                <w:color w:val="auto"/>
                <w:sz w:val="21"/>
                <w:szCs w:val="21"/>
                <w:highlight w:val="none"/>
              </w:rPr>
            </w:pPr>
            <w:r>
              <w:rPr>
                <w:rFonts w:hint="eastAsia"/>
                <w:b w:val="0"/>
                <w:bCs/>
                <w:color w:val="auto"/>
                <w:sz w:val="21"/>
                <w:szCs w:val="21"/>
                <w:highlight w:val="none"/>
                <w:lang w:eastAsia="zh-CN"/>
              </w:rPr>
              <w:t>总</w:t>
            </w:r>
            <w:r>
              <w:rPr>
                <w:rFonts w:hint="eastAsia"/>
                <w:b w:val="0"/>
                <w:bCs/>
                <w:color w:val="auto"/>
                <w:sz w:val="21"/>
                <w:szCs w:val="21"/>
                <w:highlight w:val="none"/>
                <w:lang w:val="en-US" w:eastAsia="zh-CN"/>
              </w:rPr>
              <w:t>VOCs</w:t>
            </w:r>
          </w:p>
        </w:tc>
        <w:tc>
          <w:tcPr>
            <w:tcW w:w="2610" w:type="dxa"/>
            <w:shd w:val="clear" w:color="auto" w:fill="FFFFFF"/>
            <w:noWrap w:val="0"/>
            <w:vAlign w:val="center"/>
          </w:tcPr>
          <w:p>
            <w:pPr>
              <w:spacing w:before="48" w:beforeLines="20" w:after="48" w:afterLines="20" w:line="240" w:lineRule="auto"/>
              <w:ind w:left="0" w:leftChars="0" w:firstLine="0" w:firstLineChars="0"/>
              <w:jc w:val="center"/>
              <w:rPr>
                <w:rFonts w:hint="eastAsia"/>
                <w:b w:val="0"/>
                <w:bCs/>
                <w:color w:val="auto"/>
                <w:sz w:val="21"/>
                <w:szCs w:val="21"/>
                <w:highlight w:val="none"/>
              </w:rPr>
            </w:pPr>
            <w:r>
              <w:rPr>
                <w:rFonts w:hint="eastAsia"/>
                <w:b w:val="0"/>
                <w:bCs/>
                <w:color w:val="auto"/>
                <w:sz w:val="21"/>
                <w:szCs w:val="21"/>
                <w:highlight w:val="none"/>
                <w:lang w:val="en-US" w:eastAsia="zh-CN"/>
              </w:rPr>
              <w:t>90</w:t>
            </w:r>
          </w:p>
        </w:tc>
        <w:tc>
          <w:tcPr>
            <w:tcW w:w="1395" w:type="dxa"/>
            <w:tcBorders>
              <w:right w:val="single" w:color="auto" w:sz="4" w:space="0"/>
            </w:tcBorders>
            <w:shd w:val="clear" w:color="auto" w:fill="FFFFFF"/>
            <w:noWrap w:val="0"/>
            <w:vAlign w:val="center"/>
          </w:tcPr>
          <w:p>
            <w:pPr>
              <w:spacing w:before="48" w:beforeLines="20" w:after="48" w:afterLines="20" w:line="240" w:lineRule="auto"/>
              <w:ind w:left="0" w:leftChars="0" w:firstLine="0" w:firstLineChars="0"/>
              <w:jc w:val="center"/>
              <w:rPr>
                <w:rFonts w:hint="eastAsia"/>
                <w:b w:val="0"/>
                <w:bCs/>
                <w:color w:val="auto"/>
                <w:sz w:val="21"/>
                <w:szCs w:val="21"/>
                <w:highlight w:val="none"/>
                <w:lang w:val="en-US"/>
              </w:rPr>
            </w:pPr>
            <w:r>
              <w:rPr>
                <w:rFonts w:hint="eastAsia"/>
                <w:b w:val="0"/>
                <w:bCs/>
                <w:color w:val="auto"/>
                <w:sz w:val="21"/>
                <w:szCs w:val="21"/>
                <w:highlight w:val="none"/>
                <w:lang w:val="en-US" w:eastAsia="zh-CN"/>
              </w:rPr>
              <w:t>6.87</w:t>
            </w:r>
          </w:p>
        </w:tc>
        <w:tc>
          <w:tcPr>
            <w:tcW w:w="1665" w:type="dxa"/>
            <w:tcBorders>
              <w:left w:val="single" w:color="auto" w:sz="4" w:space="0"/>
            </w:tcBorders>
            <w:shd w:val="clear" w:color="auto" w:fill="FFFFFF"/>
            <w:noWrap w:val="0"/>
            <w:vAlign w:val="center"/>
          </w:tcPr>
          <w:p>
            <w:pPr>
              <w:spacing w:before="48" w:beforeLines="20" w:after="48" w:afterLines="20" w:line="240" w:lineRule="auto"/>
              <w:ind w:left="0" w:leftChars="0" w:firstLine="0" w:firstLineChars="0"/>
              <w:jc w:val="center"/>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3.43</w:t>
            </w:r>
          </w:p>
        </w:tc>
        <w:tc>
          <w:tcPr>
            <w:tcW w:w="2219" w:type="dxa"/>
            <w:tcBorders>
              <w:top w:val="single" w:color="auto" w:sz="4" w:space="0"/>
            </w:tcBorders>
            <w:noWrap w:val="0"/>
            <w:vAlign w:val="center"/>
          </w:tcPr>
          <w:p>
            <w:pPr>
              <w:spacing w:before="48" w:beforeLines="20" w:after="48" w:afterLines="20" w:line="240" w:lineRule="auto"/>
              <w:ind w:left="0" w:leftChars="0" w:firstLine="0" w:firstLineChars="0"/>
              <w:jc w:val="center"/>
              <w:rPr>
                <w:rFonts w:hint="eastAsia"/>
                <w:b w:val="0"/>
                <w:bCs/>
                <w:color w:val="auto"/>
                <w:sz w:val="21"/>
                <w:szCs w:val="21"/>
                <w:highlight w:val="none"/>
              </w:rPr>
            </w:pPr>
            <w:r>
              <w:rPr>
                <w:rFonts w:hint="eastAsia"/>
                <w:b w:val="0"/>
                <w:bCs/>
                <w:color w:val="auto"/>
                <w:sz w:val="21"/>
                <w:szCs w:val="21"/>
                <w:highlight w:val="none"/>
                <w:lang w:val="en-US" w:eastAsia="zh-CN"/>
              </w:rPr>
              <w:t>2.0</w:t>
            </w:r>
          </w:p>
        </w:tc>
      </w:tr>
    </w:tbl>
    <w:p>
      <w:pPr>
        <w:pStyle w:val="4"/>
        <w:outlineLvl w:val="9"/>
        <w:rPr>
          <w:rFonts w:hint="eastAsia" w:ascii="宋体" w:hAnsi="宋体" w:cs="宋体"/>
          <w:sz w:val="21"/>
          <w:szCs w:val="21"/>
        </w:rPr>
      </w:pPr>
    </w:p>
    <w:p>
      <w:pPr>
        <w:spacing w:line="360" w:lineRule="auto"/>
        <w:ind w:left="0" w:leftChars="0" w:firstLine="0" w:firstLineChars="0"/>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rPr>
        <w:t>表</w:t>
      </w:r>
      <w:r>
        <w:rPr>
          <w:rFonts w:hint="eastAsia" w:ascii="黑体" w:hAnsi="黑体" w:eastAsia="黑体" w:cs="黑体"/>
          <w:color w:val="auto"/>
          <w:szCs w:val="21"/>
          <w:highlight w:val="none"/>
          <w:lang w:val="en-US" w:eastAsia="zh-CN"/>
        </w:rPr>
        <w:t>8.2-3</w:t>
      </w:r>
      <w:r>
        <w:rPr>
          <w:rFonts w:hint="eastAsia" w:ascii="黑体" w:hAnsi="黑体" w:eastAsia="黑体" w:cs="黑体"/>
          <w:color w:val="auto"/>
          <w:szCs w:val="21"/>
          <w:highlight w:val="none"/>
        </w:rPr>
        <w:t xml:space="preserve"> 《大气污染物综合排放标准》（GB16297-1996）中相关排放限值</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400"/>
        <w:gridCol w:w="1591"/>
        <w:gridCol w:w="1513"/>
        <w:gridCol w:w="1134"/>
        <w:gridCol w:w="1843"/>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4" w:type="dxa"/>
            <w:vMerge w:val="restart"/>
            <w:vAlign w:val="center"/>
          </w:tcPr>
          <w:p>
            <w:pPr>
              <w:spacing w:line="240" w:lineRule="auto"/>
              <w:ind w:left="0" w:leftChars="0" w:firstLine="0" w:firstLineChars="0"/>
              <w:jc w:val="center"/>
              <w:rPr>
                <w:rFonts w:hint="default" w:ascii="Times New Roman" w:hAnsi="Times New Roman"/>
                <w:sz w:val="21"/>
                <w:szCs w:val="21"/>
              </w:rPr>
            </w:pPr>
            <w:r>
              <w:rPr>
                <w:rFonts w:hint="default" w:ascii="Times New Roman" w:hAnsi="Times New Roman"/>
                <w:sz w:val="21"/>
                <w:szCs w:val="21"/>
              </w:rPr>
              <w:t>序号</w:t>
            </w:r>
          </w:p>
        </w:tc>
        <w:tc>
          <w:tcPr>
            <w:tcW w:w="1400" w:type="dxa"/>
            <w:vMerge w:val="restart"/>
            <w:vAlign w:val="center"/>
          </w:tcPr>
          <w:p>
            <w:pPr>
              <w:spacing w:line="240" w:lineRule="auto"/>
              <w:ind w:left="0" w:leftChars="0" w:firstLine="0" w:firstLineChars="0"/>
              <w:jc w:val="center"/>
              <w:rPr>
                <w:rFonts w:hint="default" w:ascii="Times New Roman" w:hAnsi="Times New Roman"/>
                <w:sz w:val="21"/>
                <w:szCs w:val="21"/>
              </w:rPr>
            </w:pPr>
            <w:r>
              <w:rPr>
                <w:rFonts w:hint="default" w:ascii="Times New Roman" w:hAnsi="Times New Roman"/>
                <w:sz w:val="21"/>
                <w:szCs w:val="21"/>
              </w:rPr>
              <w:t>污染物</w:t>
            </w:r>
          </w:p>
        </w:tc>
        <w:tc>
          <w:tcPr>
            <w:tcW w:w="1591" w:type="dxa"/>
            <w:vMerge w:val="restart"/>
            <w:vAlign w:val="center"/>
          </w:tcPr>
          <w:p>
            <w:pPr>
              <w:spacing w:line="240" w:lineRule="auto"/>
              <w:ind w:left="0" w:leftChars="0" w:firstLine="0" w:firstLineChars="0"/>
              <w:jc w:val="center"/>
              <w:rPr>
                <w:rFonts w:hint="default" w:ascii="Times New Roman" w:hAnsi="Times New Roman"/>
                <w:sz w:val="21"/>
                <w:szCs w:val="21"/>
              </w:rPr>
            </w:pPr>
            <w:r>
              <w:rPr>
                <w:rFonts w:hint="default" w:ascii="Times New Roman" w:hAnsi="Times New Roman"/>
                <w:sz w:val="21"/>
                <w:szCs w:val="21"/>
              </w:rPr>
              <w:t>最高允许排放浓度（mg/m3）</w:t>
            </w:r>
          </w:p>
        </w:tc>
        <w:tc>
          <w:tcPr>
            <w:tcW w:w="6332" w:type="dxa"/>
            <w:gridSpan w:val="4"/>
            <w:vAlign w:val="center"/>
          </w:tcPr>
          <w:p>
            <w:pPr>
              <w:spacing w:line="240" w:lineRule="auto"/>
              <w:ind w:left="0" w:leftChars="0" w:firstLine="0" w:firstLineChars="0"/>
              <w:jc w:val="center"/>
              <w:rPr>
                <w:rFonts w:hint="default" w:ascii="Times New Roman" w:hAnsi="Times New Roman"/>
                <w:sz w:val="21"/>
                <w:szCs w:val="21"/>
              </w:rPr>
            </w:pPr>
            <w:r>
              <w:rPr>
                <w:rFonts w:hint="default" w:ascii="Times New Roman" w:hAnsi="Times New Roman"/>
                <w:sz w:val="21"/>
                <w:szCs w:val="21"/>
              </w:rPr>
              <w:t>最高允许排放速率（kg/h）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4" w:type="dxa"/>
            <w:vMerge w:val="continue"/>
            <w:vAlign w:val="center"/>
          </w:tcPr>
          <w:p>
            <w:pPr>
              <w:spacing w:line="240" w:lineRule="auto"/>
              <w:ind w:left="0" w:leftChars="0" w:firstLine="0" w:firstLineChars="0"/>
              <w:jc w:val="center"/>
              <w:rPr>
                <w:rFonts w:hint="default" w:ascii="Times New Roman" w:hAnsi="Times New Roman"/>
                <w:sz w:val="21"/>
                <w:szCs w:val="21"/>
              </w:rPr>
            </w:pPr>
          </w:p>
        </w:tc>
        <w:tc>
          <w:tcPr>
            <w:tcW w:w="1400" w:type="dxa"/>
            <w:vMerge w:val="continue"/>
            <w:vAlign w:val="center"/>
          </w:tcPr>
          <w:p>
            <w:pPr>
              <w:spacing w:line="240" w:lineRule="auto"/>
              <w:ind w:left="0" w:leftChars="0" w:firstLine="0" w:firstLineChars="0"/>
              <w:jc w:val="center"/>
              <w:rPr>
                <w:rFonts w:hint="default" w:ascii="Times New Roman" w:hAnsi="Times New Roman"/>
                <w:sz w:val="21"/>
                <w:szCs w:val="21"/>
              </w:rPr>
            </w:pPr>
          </w:p>
        </w:tc>
        <w:tc>
          <w:tcPr>
            <w:tcW w:w="1591" w:type="dxa"/>
            <w:vMerge w:val="continue"/>
            <w:vAlign w:val="center"/>
          </w:tcPr>
          <w:p>
            <w:pPr>
              <w:spacing w:line="240" w:lineRule="auto"/>
              <w:ind w:left="0" w:leftChars="0" w:firstLine="0" w:firstLineChars="0"/>
              <w:jc w:val="center"/>
              <w:rPr>
                <w:rFonts w:hint="default" w:ascii="Times New Roman" w:hAnsi="Times New Roman"/>
                <w:sz w:val="21"/>
                <w:szCs w:val="21"/>
              </w:rPr>
            </w:pPr>
          </w:p>
        </w:tc>
        <w:tc>
          <w:tcPr>
            <w:tcW w:w="1513" w:type="dxa"/>
            <w:vMerge w:val="restart"/>
            <w:vAlign w:val="center"/>
          </w:tcPr>
          <w:p>
            <w:pPr>
              <w:spacing w:line="240" w:lineRule="auto"/>
              <w:ind w:left="0" w:leftChars="0" w:firstLine="0" w:firstLineChars="0"/>
              <w:jc w:val="center"/>
              <w:rPr>
                <w:rFonts w:hint="default" w:ascii="Times New Roman" w:hAnsi="Times New Roman"/>
                <w:sz w:val="21"/>
                <w:szCs w:val="21"/>
              </w:rPr>
            </w:pPr>
            <w:r>
              <w:rPr>
                <w:rFonts w:hint="default" w:ascii="Times New Roman" w:hAnsi="Times New Roman"/>
                <w:sz w:val="21"/>
                <w:szCs w:val="21"/>
              </w:rPr>
              <w:t>排气筒（m）</w:t>
            </w:r>
          </w:p>
        </w:tc>
        <w:tc>
          <w:tcPr>
            <w:tcW w:w="1134" w:type="dxa"/>
            <w:vMerge w:val="restart"/>
            <w:vAlign w:val="center"/>
          </w:tcPr>
          <w:p>
            <w:pPr>
              <w:spacing w:line="240" w:lineRule="auto"/>
              <w:ind w:left="0" w:leftChars="0" w:firstLine="0" w:firstLineChars="0"/>
              <w:jc w:val="center"/>
              <w:rPr>
                <w:rFonts w:hint="default" w:ascii="Times New Roman" w:hAnsi="Times New Roman"/>
                <w:sz w:val="21"/>
                <w:szCs w:val="21"/>
              </w:rPr>
            </w:pPr>
            <w:r>
              <w:rPr>
                <w:rFonts w:hint="default" w:ascii="Times New Roman" w:hAnsi="Times New Roman"/>
                <w:sz w:val="21"/>
                <w:szCs w:val="21"/>
              </w:rPr>
              <w:t>一级</w:t>
            </w:r>
          </w:p>
        </w:tc>
        <w:tc>
          <w:tcPr>
            <w:tcW w:w="3685" w:type="dxa"/>
            <w:gridSpan w:val="2"/>
            <w:vAlign w:val="center"/>
          </w:tcPr>
          <w:p>
            <w:pPr>
              <w:spacing w:line="240" w:lineRule="auto"/>
              <w:ind w:left="0" w:leftChars="0" w:firstLine="0" w:firstLineChars="0"/>
              <w:jc w:val="center"/>
              <w:rPr>
                <w:rFonts w:hint="default" w:ascii="Times New Roman" w:hAnsi="Times New Roman"/>
                <w:sz w:val="21"/>
                <w:szCs w:val="21"/>
              </w:rPr>
            </w:pPr>
            <w:r>
              <w:rPr>
                <w:rFonts w:hint="default" w:ascii="Times New Roman" w:hAnsi="Times New Roman"/>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4" w:type="dxa"/>
            <w:vMerge w:val="continue"/>
            <w:vAlign w:val="center"/>
          </w:tcPr>
          <w:p>
            <w:pPr>
              <w:spacing w:line="240" w:lineRule="auto"/>
              <w:ind w:left="0" w:leftChars="0" w:firstLine="0" w:firstLineChars="0"/>
              <w:jc w:val="center"/>
              <w:rPr>
                <w:rFonts w:hint="default" w:ascii="Times New Roman" w:hAnsi="Times New Roman"/>
                <w:sz w:val="21"/>
                <w:szCs w:val="21"/>
              </w:rPr>
            </w:pPr>
          </w:p>
        </w:tc>
        <w:tc>
          <w:tcPr>
            <w:tcW w:w="1400" w:type="dxa"/>
            <w:vMerge w:val="continue"/>
            <w:vAlign w:val="center"/>
          </w:tcPr>
          <w:p>
            <w:pPr>
              <w:spacing w:line="240" w:lineRule="auto"/>
              <w:ind w:left="0" w:leftChars="0" w:firstLine="0" w:firstLineChars="0"/>
              <w:jc w:val="center"/>
              <w:rPr>
                <w:rFonts w:hint="default" w:ascii="Times New Roman" w:hAnsi="Times New Roman"/>
                <w:sz w:val="21"/>
                <w:szCs w:val="21"/>
              </w:rPr>
            </w:pPr>
          </w:p>
        </w:tc>
        <w:tc>
          <w:tcPr>
            <w:tcW w:w="1591" w:type="dxa"/>
            <w:vMerge w:val="continue"/>
            <w:vAlign w:val="center"/>
          </w:tcPr>
          <w:p>
            <w:pPr>
              <w:spacing w:line="240" w:lineRule="auto"/>
              <w:ind w:left="0" w:leftChars="0" w:firstLine="0" w:firstLineChars="0"/>
              <w:jc w:val="center"/>
              <w:rPr>
                <w:rFonts w:hint="default" w:ascii="Times New Roman" w:hAnsi="Times New Roman"/>
                <w:sz w:val="21"/>
                <w:szCs w:val="21"/>
              </w:rPr>
            </w:pPr>
          </w:p>
        </w:tc>
        <w:tc>
          <w:tcPr>
            <w:tcW w:w="1513" w:type="dxa"/>
            <w:vMerge w:val="continue"/>
            <w:vAlign w:val="center"/>
          </w:tcPr>
          <w:p>
            <w:pPr>
              <w:spacing w:line="240" w:lineRule="auto"/>
              <w:ind w:left="0" w:leftChars="0" w:firstLine="0" w:firstLineChars="0"/>
              <w:jc w:val="center"/>
              <w:rPr>
                <w:rFonts w:hint="default" w:ascii="Times New Roman" w:hAnsi="Times New Roman"/>
                <w:sz w:val="21"/>
                <w:szCs w:val="21"/>
              </w:rPr>
            </w:pPr>
          </w:p>
        </w:tc>
        <w:tc>
          <w:tcPr>
            <w:tcW w:w="1134" w:type="dxa"/>
            <w:vMerge w:val="continue"/>
            <w:vAlign w:val="center"/>
          </w:tcPr>
          <w:p>
            <w:pPr>
              <w:spacing w:line="240" w:lineRule="auto"/>
              <w:ind w:left="0" w:leftChars="0" w:firstLine="0" w:firstLineChars="0"/>
              <w:jc w:val="center"/>
              <w:rPr>
                <w:rFonts w:hint="default" w:ascii="Times New Roman" w:hAnsi="Times New Roman"/>
                <w:sz w:val="21"/>
                <w:szCs w:val="21"/>
              </w:rPr>
            </w:pPr>
          </w:p>
        </w:tc>
        <w:tc>
          <w:tcPr>
            <w:tcW w:w="1843" w:type="dxa"/>
            <w:vAlign w:val="center"/>
          </w:tcPr>
          <w:p>
            <w:pPr>
              <w:spacing w:line="240" w:lineRule="auto"/>
              <w:ind w:left="0" w:leftChars="0" w:firstLine="0" w:firstLineChars="0"/>
              <w:jc w:val="center"/>
              <w:rPr>
                <w:rFonts w:hint="default" w:ascii="Times New Roman" w:hAnsi="Times New Roman"/>
                <w:sz w:val="21"/>
                <w:szCs w:val="21"/>
              </w:rPr>
            </w:pPr>
            <w:r>
              <w:rPr>
                <w:rFonts w:ascii="Times New Roman" w:hAnsi="Times New Roman"/>
                <w:sz w:val="21"/>
                <w:szCs w:val="21"/>
              </w:rPr>
              <w:t>限值</w:t>
            </w:r>
          </w:p>
        </w:tc>
        <w:tc>
          <w:tcPr>
            <w:tcW w:w="1842" w:type="dxa"/>
            <w:vAlign w:val="center"/>
          </w:tcPr>
          <w:p>
            <w:pPr>
              <w:spacing w:line="240" w:lineRule="auto"/>
              <w:ind w:left="0" w:leftChars="0" w:firstLine="0" w:firstLineChars="0"/>
              <w:jc w:val="center"/>
              <w:rPr>
                <w:rFonts w:hint="default" w:ascii="Times New Roman" w:hAnsi="Times New Roman"/>
                <w:sz w:val="21"/>
                <w:szCs w:val="21"/>
              </w:rPr>
            </w:pPr>
            <w:r>
              <w:rPr>
                <w:rFonts w:ascii="Times New Roman" w:hAnsi="Times New Roman"/>
                <w:sz w:val="21"/>
                <w:szCs w:val="21"/>
              </w:rPr>
              <w:t>限值的50%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4" w:type="dxa"/>
            <w:vAlign w:val="center"/>
          </w:tcPr>
          <w:p>
            <w:pPr>
              <w:spacing w:line="240" w:lineRule="auto"/>
              <w:ind w:left="0" w:leftChars="0" w:firstLine="0" w:firstLineChars="0"/>
              <w:jc w:val="center"/>
              <w:rPr>
                <w:rFonts w:hint="default" w:ascii="Times New Roman" w:hAnsi="Times New Roman"/>
                <w:sz w:val="21"/>
                <w:szCs w:val="21"/>
              </w:rPr>
            </w:pPr>
            <w:r>
              <w:rPr>
                <w:rFonts w:hint="default" w:ascii="Times New Roman" w:hAnsi="Times New Roman"/>
                <w:sz w:val="21"/>
                <w:szCs w:val="21"/>
              </w:rPr>
              <w:t>1</w:t>
            </w:r>
          </w:p>
        </w:tc>
        <w:tc>
          <w:tcPr>
            <w:tcW w:w="1400" w:type="dxa"/>
            <w:vAlign w:val="center"/>
          </w:tcPr>
          <w:p>
            <w:pPr>
              <w:spacing w:line="240" w:lineRule="auto"/>
              <w:ind w:left="0" w:leftChars="0" w:firstLine="0" w:firstLineChars="0"/>
              <w:jc w:val="center"/>
              <w:rPr>
                <w:rFonts w:hint="default" w:ascii="Times New Roman" w:hAnsi="Times New Roman"/>
                <w:sz w:val="21"/>
                <w:szCs w:val="21"/>
              </w:rPr>
            </w:pPr>
            <w:r>
              <w:rPr>
                <w:rFonts w:hint="default" w:ascii="Times New Roman" w:hAnsi="Times New Roman"/>
                <w:sz w:val="21"/>
                <w:szCs w:val="21"/>
              </w:rPr>
              <w:t>二甲苯</w:t>
            </w:r>
          </w:p>
        </w:tc>
        <w:tc>
          <w:tcPr>
            <w:tcW w:w="1591" w:type="dxa"/>
            <w:vAlign w:val="center"/>
          </w:tcPr>
          <w:p>
            <w:pPr>
              <w:spacing w:line="240" w:lineRule="auto"/>
              <w:ind w:left="0" w:leftChars="0" w:firstLine="0" w:firstLineChars="0"/>
              <w:jc w:val="center"/>
              <w:rPr>
                <w:rFonts w:hint="default" w:ascii="Times New Roman" w:hAnsi="Times New Roman"/>
                <w:sz w:val="21"/>
                <w:szCs w:val="21"/>
              </w:rPr>
            </w:pPr>
            <w:r>
              <w:rPr>
                <w:rFonts w:hint="default" w:ascii="Times New Roman" w:hAnsi="Times New Roman"/>
                <w:sz w:val="21"/>
                <w:szCs w:val="21"/>
              </w:rPr>
              <w:t>90</w:t>
            </w:r>
          </w:p>
        </w:tc>
        <w:tc>
          <w:tcPr>
            <w:tcW w:w="1513" w:type="dxa"/>
            <w:vAlign w:val="center"/>
          </w:tcPr>
          <w:p>
            <w:pPr>
              <w:spacing w:line="240" w:lineRule="auto"/>
              <w:ind w:left="0" w:leftChars="0" w:firstLine="0" w:firstLineChars="0"/>
              <w:jc w:val="center"/>
              <w:rPr>
                <w:rFonts w:hint="default" w:ascii="Times New Roman" w:hAnsi="Times New Roman"/>
                <w:sz w:val="21"/>
                <w:szCs w:val="21"/>
              </w:rPr>
            </w:pPr>
            <w:r>
              <w:rPr>
                <w:rFonts w:hint="default" w:ascii="Times New Roman" w:hAnsi="Times New Roman"/>
                <w:sz w:val="21"/>
                <w:szCs w:val="21"/>
              </w:rPr>
              <w:t>20</w:t>
            </w:r>
          </w:p>
        </w:tc>
        <w:tc>
          <w:tcPr>
            <w:tcW w:w="1134" w:type="dxa"/>
            <w:vAlign w:val="center"/>
          </w:tcPr>
          <w:p>
            <w:pPr>
              <w:spacing w:line="240" w:lineRule="auto"/>
              <w:ind w:left="0" w:leftChars="0" w:firstLine="0" w:firstLineChars="0"/>
              <w:jc w:val="center"/>
              <w:rPr>
                <w:rFonts w:hint="default" w:ascii="Times New Roman" w:hAnsi="Times New Roman"/>
                <w:sz w:val="21"/>
                <w:szCs w:val="21"/>
              </w:rPr>
            </w:pPr>
            <w:r>
              <w:rPr>
                <w:rFonts w:hint="default" w:ascii="Times New Roman" w:hAnsi="Times New Roman"/>
                <w:sz w:val="21"/>
                <w:szCs w:val="21"/>
              </w:rPr>
              <w:t>禁排</w:t>
            </w:r>
          </w:p>
        </w:tc>
        <w:tc>
          <w:tcPr>
            <w:tcW w:w="1843" w:type="dxa"/>
            <w:vAlign w:val="center"/>
          </w:tcPr>
          <w:p>
            <w:pPr>
              <w:spacing w:line="240" w:lineRule="auto"/>
              <w:ind w:left="0" w:leftChars="0" w:firstLine="0" w:firstLineChars="0"/>
              <w:jc w:val="center"/>
              <w:rPr>
                <w:rFonts w:hint="default" w:ascii="Times New Roman" w:hAnsi="Times New Roman"/>
                <w:sz w:val="21"/>
                <w:szCs w:val="21"/>
              </w:rPr>
            </w:pPr>
            <w:r>
              <w:rPr>
                <w:rFonts w:ascii="Times New Roman" w:hAnsi="Times New Roman"/>
                <w:sz w:val="21"/>
                <w:szCs w:val="21"/>
              </w:rPr>
              <w:t>1.7</w:t>
            </w:r>
          </w:p>
        </w:tc>
        <w:tc>
          <w:tcPr>
            <w:tcW w:w="1842" w:type="dxa"/>
            <w:vAlign w:val="center"/>
          </w:tcPr>
          <w:p>
            <w:pPr>
              <w:spacing w:line="240" w:lineRule="auto"/>
              <w:ind w:left="0" w:leftChars="0" w:firstLine="0" w:firstLineChars="0"/>
              <w:jc w:val="center"/>
              <w:rPr>
                <w:rFonts w:hint="default" w:ascii="Times New Roman" w:hAnsi="Times New Roman"/>
                <w:sz w:val="21"/>
                <w:szCs w:val="21"/>
              </w:rPr>
            </w:pPr>
            <w:r>
              <w:rPr>
                <w:rFonts w:ascii="Times New Roman" w:hAnsi="Times New Roman"/>
                <w:sz w:val="21"/>
                <w:szCs w:val="21"/>
              </w:rPr>
              <w:t>0.85</w:t>
            </w:r>
          </w:p>
        </w:tc>
      </w:tr>
    </w:tbl>
    <w:p>
      <w:pPr>
        <w:pStyle w:val="2"/>
        <w:jc w:val="center"/>
        <w:rPr>
          <w:rFonts w:hint="eastAsia"/>
        </w:rPr>
      </w:pPr>
    </w:p>
    <w:p>
      <w:pPr>
        <w:pStyle w:val="2"/>
        <w:rPr>
          <w:rFonts w:hint="eastAsia" w:ascii="宋体" w:hAnsi="宋体" w:cs="宋体"/>
          <w:sz w:val="21"/>
          <w:szCs w:val="21"/>
        </w:rPr>
      </w:pPr>
    </w:p>
    <w:p>
      <w:pPr>
        <w:snapToGrid w:val="0"/>
        <w:spacing w:line="360" w:lineRule="auto"/>
        <w:ind w:left="0" w:leftChars="0" w:firstLine="0" w:firstLineChars="0"/>
        <w:jc w:val="center"/>
        <w:rPr>
          <w:rFonts w:hint="default" w:ascii="黑体" w:hAnsi="黑体" w:eastAsia="黑体" w:cs="黑体"/>
          <w:color w:val="auto"/>
          <w:szCs w:val="21"/>
          <w:highlight w:val="none"/>
          <w:lang w:eastAsia="zh-CN"/>
        </w:rPr>
      </w:pPr>
      <w:r>
        <w:rPr>
          <w:rFonts w:hint="eastAsia" w:ascii="黑体" w:hAnsi="黑体" w:eastAsia="黑体" w:cs="黑体"/>
          <w:color w:val="auto"/>
          <w:szCs w:val="21"/>
          <w:highlight w:val="none"/>
        </w:rPr>
        <w:t>表</w:t>
      </w:r>
      <w:r>
        <w:rPr>
          <w:rFonts w:hint="eastAsia" w:ascii="黑体" w:hAnsi="黑体" w:eastAsia="黑体" w:cs="黑体"/>
          <w:color w:val="auto"/>
          <w:szCs w:val="21"/>
          <w:highlight w:val="none"/>
          <w:lang w:val="en-US" w:eastAsia="zh-CN"/>
        </w:rPr>
        <w:t>8.2-4</w:t>
      </w:r>
      <w:r>
        <w:rPr>
          <w:rFonts w:hint="eastAsia" w:ascii="黑体" w:hAnsi="黑体" w:eastAsia="黑体" w:cs="黑体"/>
          <w:color w:val="auto"/>
          <w:szCs w:val="21"/>
          <w:highlight w:val="none"/>
        </w:rPr>
        <w:t xml:space="preserve"> </w:t>
      </w:r>
      <w:r>
        <w:rPr>
          <w:rFonts w:hint="default" w:ascii="黑体" w:hAnsi="黑体" w:eastAsia="黑体" w:cs="黑体"/>
          <w:color w:val="auto"/>
          <w:szCs w:val="21"/>
          <w:highlight w:val="none"/>
        </w:rPr>
        <w:t>《饮食业油烟排放标准（试行）》</w:t>
      </w:r>
      <w:r>
        <w:rPr>
          <w:rFonts w:hint="default" w:ascii="黑体" w:hAnsi="黑体" w:eastAsia="黑体" w:cs="黑体"/>
          <w:color w:val="auto"/>
          <w:szCs w:val="21"/>
          <w:highlight w:val="none"/>
          <w:lang w:eastAsia="zh-CN"/>
        </w:rPr>
        <w:t>（</w:t>
      </w:r>
      <w:r>
        <w:rPr>
          <w:rFonts w:hint="default" w:ascii="黑体" w:hAnsi="黑体" w:eastAsia="黑体" w:cs="黑体"/>
          <w:color w:val="auto"/>
          <w:szCs w:val="21"/>
          <w:highlight w:val="none"/>
        </w:rPr>
        <w:t>GB18483－2001</w:t>
      </w:r>
      <w:r>
        <w:rPr>
          <w:rFonts w:hint="default" w:ascii="黑体" w:hAnsi="黑体" w:eastAsia="黑体" w:cs="黑体"/>
          <w:color w:val="auto"/>
          <w:szCs w:val="21"/>
          <w:highlight w:val="none"/>
          <w:lang w:eastAsia="zh-CN"/>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pStyle w:val="2"/>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规模</w:t>
            </w:r>
          </w:p>
        </w:tc>
        <w:tc>
          <w:tcPr>
            <w:tcW w:w="4981" w:type="dxa"/>
          </w:tcPr>
          <w:p>
            <w:pPr>
              <w:pStyle w:val="2"/>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中型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pStyle w:val="2"/>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基准灶头数</w:t>
            </w:r>
          </w:p>
        </w:tc>
        <w:tc>
          <w:tcPr>
            <w:tcW w:w="4981" w:type="dxa"/>
          </w:tcPr>
          <w:p>
            <w:pPr>
              <w:pStyle w:val="2"/>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eastAsia="zh-CN"/>
              </w:rPr>
              <w:t>≥</w:t>
            </w:r>
            <w:r>
              <w:rPr>
                <w:rFonts w:hint="eastAsia" w:ascii="Times New Roman" w:hAnsi="Times New Roman" w:cs="Times New Roman"/>
                <w:sz w:val="21"/>
                <w:szCs w:val="21"/>
                <w:vertAlign w:val="baseli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pStyle w:val="2"/>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对应灶头总功率（</w:t>
            </w:r>
            <w:r>
              <w:rPr>
                <w:rFonts w:hint="default" w:ascii="Times New Roman" w:hAnsi="Times New Roman" w:cs="Times New Roman"/>
                <w:sz w:val="21"/>
                <w:szCs w:val="21"/>
                <w:vertAlign w:val="baseline"/>
                <w:lang w:val="en-US" w:eastAsia="zh-CN"/>
              </w:rPr>
              <w:t>10</w:t>
            </w:r>
            <w:r>
              <w:rPr>
                <w:rFonts w:hint="default" w:ascii="Times New Roman" w:hAnsi="Times New Roman" w:cs="Times New Roman"/>
                <w:sz w:val="21"/>
                <w:szCs w:val="21"/>
                <w:vertAlign w:val="superscript"/>
                <w:lang w:val="en-US" w:eastAsia="zh-CN"/>
              </w:rPr>
              <w:t>8</w:t>
            </w:r>
            <w:r>
              <w:rPr>
                <w:rFonts w:hint="default" w:ascii="Times New Roman" w:hAnsi="Times New Roman" w:cs="Times New Roman"/>
                <w:sz w:val="21"/>
                <w:szCs w:val="21"/>
                <w:vertAlign w:val="baseline"/>
                <w:lang w:val="en-US" w:eastAsia="zh-CN"/>
              </w:rPr>
              <w:t>J/h</w:t>
            </w:r>
            <w:r>
              <w:rPr>
                <w:rFonts w:hint="default" w:ascii="Times New Roman" w:hAnsi="Times New Roman" w:cs="Times New Roman"/>
                <w:sz w:val="21"/>
                <w:szCs w:val="21"/>
                <w:vertAlign w:val="baseline"/>
                <w:lang w:eastAsia="zh-CN"/>
              </w:rPr>
              <w:t>）</w:t>
            </w:r>
          </w:p>
        </w:tc>
        <w:tc>
          <w:tcPr>
            <w:tcW w:w="4981" w:type="dxa"/>
          </w:tcPr>
          <w:p>
            <w:pPr>
              <w:pStyle w:val="2"/>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eastAsia="zh-CN"/>
              </w:rPr>
              <w:t>≥</w:t>
            </w:r>
            <w:r>
              <w:rPr>
                <w:rFonts w:hint="eastAsia" w:ascii="Times New Roman" w:hAnsi="Times New Roman" w:cs="Times New Roman"/>
                <w:sz w:val="21"/>
                <w:szCs w:val="21"/>
                <w:vertAlign w:val="baseline"/>
                <w:lang w:val="en-US" w:eastAsia="zh-CN"/>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pStyle w:val="2"/>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对应排气罩灶面总投影面积（</w:t>
            </w:r>
            <w:r>
              <w:rPr>
                <w:rFonts w:hint="default" w:ascii="Times New Roman" w:hAnsi="Times New Roman" w:cs="Times New Roman"/>
                <w:sz w:val="21"/>
                <w:szCs w:val="21"/>
                <w:vertAlign w:val="baseline"/>
                <w:lang w:val="en-US" w:eastAsia="zh-CN"/>
              </w:rPr>
              <w:t>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vertAlign w:val="baseline"/>
                <w:lang w:eastAsia="zh-CN"/>
              </w:rPr>
              <w:t>）</w:t>
            </w:r>
          </w:p>
        </w:tc>
        <w:tc>
          <w:tcPr>
            <w:tcW w:w="4981" w:type="dxa"/>
          </w:tcPr>
          <w:p>
            <w:pPr>
              <w:pStyle w:val="2"/>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eastAsia="zh-CN"/>
              </w:rPr>
              <w:t>≥</w:t>
            </w:r>
            <w:r>
              <w:rPr>
                <w:rFonts w:hint="eastAsia" w:ascii="Times New Roman" w:hAnsi="Times New Roman" w:cs="Times New Roman"/>
                <w:sz w:val="21"/>
                <w:szCs w:val="21"/>
                <w:vertAlign w:val="baseline"/>
                <w:lang w:val="en-US" w:eastAsia="zh-CN"/>
              </w:rPr>
              <w:t>3.3，＜6.6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pStyle w:val="2"/>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最高允许排放浓度（</w:t>
            </w:r>
            <w:r>
              <w:rPr>
                <w:rFonts w:hint="default" w:ascii="Times New Roman" w:hAnsi="Times New Roman" w:cs="Times New Roman"/>
                <w:sz w:val="21"/>
                <w:szCs w:val="21"/>
                <w:vertAlign w:val="baseline"/>
                <w:lang w:val="en-US" w:eastAsia="zh-CN"/>
              </w:rPr>
              <w:t>mg/m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vertAlign w:val="baseline"/>
                <w:lang w:eastAsia="zh-CN"/>
              </w:rPr>
              <w:t>）</w:t>
            </w:r>
          </w:p>
        </w:tc>
        <w:tc>
          <w:tcPr>
            <w:tcW w:w="4981" w:type="dxa"/>
          </w:tcPr>
          <w:p>
            <w:pPr>
              <w:pStyle w:val="2"/>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pStyle w:val="2"/>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净化设备最低去除率（</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vertAlign w:val="baseline"/>
                <w:lang w:eastAsia="zh-CN"/>
              </w:rPr>
              <w:t>）</w:t>
            </w:r>
          </w:p>
        </w:tc>
        <w:tc>
          <w:tcPr>
            <w:tcW w:w="4981" w:type="dxa"/>
          </w:tcPr>
          <w:p>
            <w:pPr>
              <w:pStyle w:val="2"/>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75</w:t>
            </w:r>
          </w:p>
        </w:tc>
      </w:tr>
    </w:tbl>
    <w:p>
      <w:pPr>
        <w:pStyle w:val="4"/>
        <w:rPr>
          <w:rFonts w:hint="eastAsia"/>
          <w:lang w:val="en-US" w:eastAsia="zh-CN"/>
        </w:rPr>
      </w:pPr>
      <w:bookmarkStart w:id="218" w:name="_Toc331"/>
      <w:bookmarkStart w:id="219" w:name="_Toc29102"/>
      <w:bookmarkStart w:id="220" w:name="_Toc21425_WPSOffice_Level1"/>
      <w:bookmarkStart w:id="221" w:name="_Toc27274"/>
      <w:bookmarkStart w:id="222" w:name="_Toc13821"/>
      <w:bookmarkStart w:id="223" w:name="_Toc18850"/>
      <w:bookmarkStart w:id="224" w:name="_Toc5100"/>
      <w:bookmarkStart w:id="225" w:name="_Toc31240"/>
      <w:bookmarkStart w:id="226" w:name="_Toc20394_WPSOffice_Level1"/>
      <w:bookmarkStart w:id="227" w:name="_Toc29643_WPSOffice_Level1"/>
    </w:p>
    <w:p>
      <w:pPr>
        <w:pStyle w:val="4"/>
      </w:pPr>
      <w:bookmarkStart w:id="228" w:name="_Toc4181"/>
      <w:r>
        <w:rPr>
          <w:rFonts w:hint="eastAsia"/>
          <w:lang w:val="en-US" w:eastAsia="zh-CN"/>
        </w:rPr>
        <w:t>8</w:t>
      </w:r>
      <w:r>
        <w:t>.</w:t>
      </w:r>
      <w:r>
        <w:rPr>
          <w:rFonts w:hint="eastAsia"/>
        </w:rPr>
        <w:t>3噪声评价标准</w:t>
      </w:r>
      <w:bookmarkEnd w:id="218"/>
      <w:bookmarkEnd w:id="219"/>
      <w:bookmarkEnd w:id="220"/>
      <w:bookmarkEnd w:id="221"/>
      <w:bookmarkEnd w:id="222"/>
      <w:bookmarkEnd w:id="223"/>
      <w:bookmarkEnd w:id="224"/>
      <w:bookmarkEnd w:id="225"/>
      <w:bookmarkEnd w:id="226"/>
      <w:bookmarkEnd w:id="227"/>
      <w:bookmarkEnd w:id="228"/>
    </w:p>
    <w:p>
      <w:pPr>
        <w:pStyle w:val="19"/>
        <w:autoSpaceDE w:val="0"/>
        <w:autoSpaceDN w:val="0"/>
        <w:adjustRightInd w:val="0"/>
        <w:spacing w:line="360" w:lineRule="auto"/>
        <w:ind w:firstLine="480"/>
        <w:textAlignment w:val="baseline"/>
        <w:rPr>
          <w:rFonts w:ascii="Times New Roman" w:hAnsi="Times New Roman" w:cs="Times New Roman"/>
          <w:color w:val="auto"/>
        </w:rPr>
      </w:pPr>
      <w:r>
        <w:rPr>
          <w:rFonts w:ascii="Times New Roman" w:hAnsi="Times New Roman" w:cs="Times New Roman"/>
        </w:rPr>
        <w:t>项目场界四周执行</w:t>
      </w:r>
      <w:bookmarkStart w:id="229" w:name="OLE_LINK30"/>
      <w:r>
        <w:rPr>
          <w:rFonts w:ascii="Times New Roman" w:hAnsi="Times New Roman" w:cs="Times New Roman"/>
        </w:rPr>
        <w:t>《工业企业厂界环境噪声排放标准》</w:t>
      </w:r>
      <w:r>
        <w:rPr>
          <w:rFonts w:ascii="Times New Roman" w:hAnsi="Times New Roman" w:cs="Times New Roman"/>
          <w:color w:val="auto"/>
        </w:rPr>
        <w:t>（GB12348-2008</w:t>
      </w:r>
      <w:bookmarkEnd w:id="229"/>
      <w:r>
        <w:rPr>
          <w:rFonts w:ascii="Times New Roman" w:hAnsi="Times New Roman" w:cs="Times New Roman"/>
          <w:color w:val="auto"/>
        </w:rPr>
        <w:t>）</w:t>
      </w:r>
      <w:r>
        <w:rPr>
          <w:rFonts w:hint="eastAsia" w:ascii="Times New Roman" w:hAnsi="Times New Roman" w:cs="Times New Roman"/>
          <w:color w:val="auto"/>
          <w:lang w:val="en-US" w:eastAsia="zh-CN"/>
        </w:rPr>
        <w:t>3</w:t>
      </w:r>
      <w:r>
        <w:rPr>
          <w:rFonts w:ascii="Times New Roman" w:hAnsi="Times New Roman" w:cs="Times New Roman"/>
        </w:rPr>
        <w:t>类标准，</w:t>
      </w:r>
      <w:r>
        <w:rPr>
          <w:rFonts w:ascii="Times New Roman" w:hAnsi="Times New Roman" w:cs="Times New Roman"/>
          <w:color w:val="auto"/>
        </w:rPr>
        <w:t>见表</w:t>
      </w:r>
      <w:r>
        <w:rPr>
          <w:rFonts w:hint="eastAsia" w:ascii="Times New Roman" w:hAnsi="Times New Roman" w:cs="Times New Roman"/>
          <w:color w:val="auto"/>
          <w:lang w:val="en-US" w:eastAsia="zh-CN"/>
        </w:rPr>
        <w:t>8</w:t>
      </w:r>
      <w:r>
        <w:rPr>
          <w:rFonts w:ascii="Times New Roman" w:hAnsi="Times New Roman" w:cs="Times New Roman"/>
          <w:color w:val="auto"/>
        </w:rPr>
        <w:t>.3-1。</w:t>
      </w:r>
    </w:p>
    <w:p>
      <w:pPr>
        <w:pStyle w:val="16"/>
        <w:spacing w:line="360" w:lineRule="auto"/>
      </w:pPr>
      <w:r>
        <w:rPr>
          <w:rFonts w:hint="eastAsia" w:ascii="黑体" w:hAnsi="黑体" w:eastAsia="黑体" w:cs="黑体"/>
          <w:b w:val="0"/>
          <w:bCs/>
          <w:sz w:val="24"/>
          <w:szCs w:val="24"/>
        </w:rPr>
        <w:t>表</w:t>
      </w:r>
      <w:r>
        <w:rPr>
          <w:rFonts w:hint="eastAsia" w:ascii="黑体" w:hAnsi="黑体" w:eastAsia="黑体" w:cs="黑体"/>
          <w:b w:val="0"/>
          <w:bCs/>
          <w:sz w:val="24"/>
          <w:szCs w:val="24"/>
          <w:lang w:val="en-US" w:eastAsia="zh-CN"/>
        </w:rPr>
        <w:t>8</w:t>
      </w:r>
      <w:r>
        <w:rPr>
          <w:rFonts w:hint="eastAsia" w:ascii="黑体" w:hAnsi="黑体" w:eastAsia="黑体" w:cs="黑体"/>
          <w:b w:val="0"/>
          <w:bCs/>
          <w:sz w:val="24"/>
          <w:szCs w:val="24"/>
        </w:rPr>
        <w:t>.3-1《工业企业厂界环境噪声排放标准》(GB12348-2008)</w:t>
      </w:r>
    </w:p>
    <w:tbl>
      <w:tblPr>
        <w:tblStyle w:val="12"/>
        <w:tblW w:w="783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05"/>
        <w:gridCol w:w="3314"/>
        <w:gridCol w:w="33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05" w:type="dxa"/>
            <w:vAlign w:val="center"/>
          </w:tcPr>
          <w:p>
            <w:pPr>
              <w:wordWrap/>
              <w:spacing w:line="240" w:lineRule="auto"/>
              <w:ind w:firstLine="0" w:firstLineChars="0"/>
              <w:jc w:val="center"/>
              <w:rPr>
                <w:sz w:val="21"/>
                <w:szCs w:val="21"/>
              </w:rPr>
            </w:pPr>
            <w:r>
              <w:rPr>
                <w:sz w:val="21"/>
                <w:szCs w:val="21"/>
              </w:rPr>
              <w:t>类 别</w:t>
            </w:r>
          </w:p>
        </w:tc>
        <w:tc>
          <w:tcPr>
            <w:tcW w:w="3314" w:type="dxa"/>
            <w:vAlign w:val="center"/>
          </w:tcPr>
          <w:p>
            <w:pPr>
              <w:widowControl/>
              <w:wordWrap/>
              <w:spacing w:line="240" w:lineRule="auto"/>
              <w:ind w:firstLine="0" w:firstLineChars="0"/>
              <w:jc w:val="center"/>
              <w:rPr>
                <w:sz w:val="21"/>
                <w:szCs w:val="21"/>
              </w:rPr>
            </w:pPr>
            <w:r>
              <w:rPr>
                <w:sz w:val="21"/>
                <w:szCs w:val="21"/>
              </w:rPr>
              <w:t>昼 间（7:00～22:00）</w:t>
            </w:r>
          </w:p>
        </w:tc>
        <w:tc>
          <w:tcPr>
            <w:tcW w:w="3314" w:type="dxa"/>
            <w:vAlign w:val="center"/>
          </w:tcPr>
          <w:p>
            <w:pPr>
              <w:widowControl/>
              <w:wordWrap/>
              <w:spacing w:line="240" w:lineRule="auto"/>
              <w:ind w:firstLine="0" w:firstLineChars="0"/>
              <w:jc w:val="center"/>
              <w:rPr>
                <w:sz w:val="21"/>
                <w:szCs w:val="21"/>
              </w:rPr>
            </w:pPr>
            <w:r>
              <w:rPr>
                <w:sz w:val="21"/>
                <w:szCs w:val="21"/>
              </w:rPr>
              <w:t>夜 间（22:00～7:00）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5" w:type="dxa"/>
            <w:vAlign w:val="center"/>
          </w:tcPr>
          <w:p>
            <w:pPr>
              <w:wordWrap/>
              <w:spacing w:line="240" w:lineRule="auto"/>
              <w:ind w:firstLine="0" w:firstLineChars="0"/>
              <w:jc w:val="center"/>
              <w:rPr>
                <w:sz w:val="21"/>
                <w:szCs w:val="21"/>
              </w:rPr>
            </w:pPr>
            <w:r>
              <w:rPr>
                <w:rFonts w:hint="eastAsia"/>
                <w:sz w:val="21"/>
                <w:szCs w:val="21"/>
                <w:lang w:val="en-US" w:eastAsia="zh-CN"/>
              </w:rPr>
              <w:t>3</w:t>
            </w:r>
            <w:r>
              <w:rPr>
                <w:sz w:val="21"/>
                <w:szCs w:val="21"/>
              </w:rPr>
              <w:t>类</w:t>
            </w:r>
          </w:p>
        </w:tc>
        <w:tc>
          <w:tcPr>
            <w:tcW w:w="3314" w:type="dxa"/>
            <w:vAlign w:val="center"/>
          </w:tcPr>
          <w:p>
            <w:pPr>
              <w:wordWrap/>
              <w:spacing w:line="240" w:lineRule="auto"/>
              <w:ind w:firstLine="0" w:firstLineChars="0"/>
              <w:jc w:val="center"/>
              <w:rPr>
                <w:sz w:val="21"/>
                <w:szCs w:val="21"/>
              </w:rPr>
            </w:pPr>
            <w:r>
              <w:rPr>
                <w:sz w:val="21"/>
                <w:szCs w:val="21"/>
              </w:rPr>
              <w:t>6</w:t>
            </w:r>
            <w:r>
              <w:rPr>
                <w:rFonts w:hint="eastAsia"/>
                <w:sz w:val="21"/>
                <w:szCs w:val="21"/>
                <w:lang w:val="en-US" w:eastAsia="zh-CN"/>
              </w:rPr>
              <w:t>5</w:t>
            </w:r>
            <w:r>
              <w:rPr>
                <w:sz w:val="21"/>
                <w:szCs w:val="21"/>
              </w:rPr>
              <w:t>dB(A)</w:t>
            </w:r>
          </w:p>
        </w:tc>
        <w:tc>
          <w:tcPr>
            <w:tcW w:w="3314" w:type="dxa"/>
            <w:vAlign w:val="center"/>
          </w:tcPr>
          <w:p>
            <w:pPr>
              <w:wordWrap/>
              <w:spacing w:line="240" w:lineRule="auto"/>
              <w:ind w:firstLine="0" w:firstLineChars="0"/>
              <w:jc w:val="center"/>
              <w:rPr>
                <w:sz w:val="21"/>
                <w:szCs w:val="21"/>
              </w:rPr>
            </w:pPr>
            <w:r>
              <w:rPr>
                <w:sz w:val="21"/>
                <w:szCs w:val="21"/>
              </w:rPr>
              <w:t>5</w:t>
            </w:r>
            <w:r>
              <w:rPr>
                <w:rFonts w:hint="eastAsia"/>
                <w:sz w:val="21"/>
                <w:szCs w:val="21"/>
                <w:lang w:val="en-US" w:eastAsia="zh-CN"/>
              </w:rPr>
              <w:t>5</w:t>
            </w:r>
            <w:r>
              <w:rPr>
                <w:sz w:val="21"/>
                <w:szCs w:val="21"/>
              </w:rPr>
              <w:t>dB(A)</w:t>
            </w:r>
          </w:p>
        </w:tc>
      </w:tr>
    </w:tbl>
    <w:p>
      <w:pPr>
        <w:pStyle w:val="4"/>
        <w:bidi w:val="0"/>
        <w:outlineLvl w:val="9"/>
        <w:rPr>
          <w:rFonts w:hint="eastAsia"/>
          <w:lang w:val="en-US" w:eastAsia="zh-CN"/>
        </w:rPr>
      </w:pPr>
      <w:bookmarkStart w:id="230" w:name="_Toc23264"/>
      <w:bookmarkStart w:id="231" w:name="_Toc2114"/>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4"/>
        <w:bidi w:val="0"/>
        <w:rPr>
          <w:rFonts w:hint="default"/>
          <w:lang w:val="en-US" w:eastAsia="zh-CN"/>
        </w:rPr>
      </w:pPr>
      <w:bookmarkStart w:id="232" w:name="_Toc19032"/>
      <w:r>
        <w:rPr>
          <w:rFonts w:hint="eastAsia"/>
          <w:lang w:val="en-US" w:eastAsia="zh-CN"/>
        </w:rPr>
        <w:t>8.4 验收监测质量保证及质量控制</w:t>
      </w:r>
      <w:bookmarkEnd w:id="232"/>
    </w:p>
    <w:p>
      <w:pPr>
        <w:bidi w:val="0"/>
        <w:spacing w:line="360" w:lineRule="auto"/>
        <w:rPr>
          <w:rFonts w:hint="default"/>
        </w:rPr>
      </w:pPr>
      <w:r>
        <w:rPr>
          <w:rFonts w:hint="default"/>
        </w:rPr>
        <w:t>1、公司所有监测分析等技术人员均经考核持证上岗；</w:t>
      </w:r>
    </w:p>
    <w:p>
      <w:pPr>
        <w:bidi w:val="0"/>
        <w:spacing w:line="360" w:lineRule="auto"/>
        <w:rPr>
          <w:rFonts w:hint="default"/>
        </w:rPr>
      </w:pPr>
      <w:r>
        <w:rPr>
          <w:rFonts w:hint="default"/>
        </w:rPr>
        <w:t>2、监测分析所用仪器都经过有资质的计量部门的检定合格且在检定有效期内；</w:t>
      </w:r>
    </w:p>
    <w:p>
      <w:pPr>
        <w:bidi w:val="0"/>
        <w:spacing w:line="360" w:lineRule="auto"/>
        <w:rPr>
          <w:rFonts w:hint="default"/>
        </w:rPr>
      </w:pPr>
      <w:r>
        <w:rPr>
          <w:rFonts w:hint="default"/>
        </w:rPr>
        <w:t>3、公司确保监测项目都有相应标准物质；</w:t>
      </w:r>
    </w:p>
    <w:p>
      <w:pPr>
        <w:bidi w:val="0"/>
        <w:spacing w:line="360" w:lineRule="auto"/>
        <w:rPr>
          <w:rFonts w:hint="default"/>
        </w:rPr>
      </w:pPr>
      <w:r>
        <w:rPr>
          <w:rFonts w:hint="default"/>
        </w:rPr>
        <w:t>4、监测分析方法采用国家或行业颁布（或推荐）的相关标准分析方法并且公司具有相关项目资质；</w:t>
      </w:r>
    </w:p>
    <w:p>
      <w:pPr>
        <w:bidi w:val="0"/>
        <w:spacing w:line="360" w:lineRule="auto"/>
        <w:rPr>
          <w:rFonts w:hint="default"/>
        </w:rPr>
      </w:pPr>
      <w:r>
        <w:rPr>
          <w:rFonts w:hint="default"/>
        </w:rPr>
        <w:t>5、采样前大气采样器进行气路检查和流量校核，保证监测仪器的气密性和准确性；</w:t>
      </w:r>
    </w:p>
    <w:p>
      <w:pPr>
        <w:pStyle w:val="2"/>
        <w:spacing w:line="360" w:lineRule="auto"/>
        <w:rPr>
          <w:rFonts w:hint="default" w:ascii="Times New Roman" w:hAnsi="Times New Roman" w:eastAsia="宋体" w:cs="Times New Roman"/>
          <w:color w:val="auto"/>
          <w:kern w:val="2"/>
          <w:sz w:val="24"/>
          <w:szCs w:val="24"/>
          <w:lang w:val="en-US" w:eastAsia="zh-CN" w:bidi="ar-SA"/>
        </w:rPr>
      </w:pPr>
      <w:r>
        <w:rPr>
          <w:rFonts w:hint="eastAsia"/>
          <w:lang w:val="en-US" w:eastAsia="zh-CN"/>
        </w:rPr>
        <w:t xml:space="preserve">    </w:t>
      </w:r>
      <w:r>
        <w:rPr>
          <w:rFonts w:hint="default" w:ascii="Times New Roman" w:hAnsi="Times New Roman" w:eastAsia="宋体" w:cs="Times New Roman"/>
          <w:color w:val="auto"/>
          <w:kern w:val="2"/>
          <w:sz w:val="24"/>
          <w:szCs w:val="24"/>
          <w:lang w:val="en-US" w:eastAsia="zh-CN" w:bidi="ar-SA"/>
        </w:rPr>
        <w:t>6、</w:t>
      </w:r>
      <w:r>
        <w:rPr>
          <w:rFonts w:ascii="Times New Roman" w:hAnsi="Times New Roman"/>
          <w:color w:val="auto"/>
          <w:kern w:val="2"/>
        </w:rPr>
        <w:t>水质采样现场采集10%密码样；实验室采取平行样、加标回收、有证标准物质等相关质控措施；</w:t>
      </w:r>
    </w:p>
    <w:p>
      <w:pPr>
        <w:bidi w:val="0"/>
        <w:spacing w:line="360" w:lineRule="auto"/>
        <w:rPr>
          <w:rFonts w:hint="default"/>
        </w:rPr>
      </w:pPr>
      <w:r>
        <w:rPr>
          <w:rFonts w:hint="eastAsia"/>
          <w:lang w:val="en-US" w:eastAsia="zh-CN"/>
        </w:rPr>
        <w:t>7</w:t>
      </w:r>
      <w:r>
        <w:rPr>
          <w:rFonts w:hint="default"/>
        </w:rPr>
        <w:t>、噪声测量前后用标准声源对噪声计进行校准，监测前后校准值差值不大于 0.5dB(A)；</w:t>
      </w:r>
    </w:p>
    <w:p>
      <w:pPr>
        <w:bidi w:val="0"/>
        <w:spacing w:line="360" w:lineRule="auto"/>
        <w:rPr>
          <w:rFonts w:hint="eastAsia"/>
          <w:lang w:val="en-US" w:eastAsia="zh-CN"/>
        </w:rPr>
      </w:pPr>
      <w:r>
        <w:rPr>
          <w:rFonts w:hint="eastAsia"/>
          <w:lang w:val="en-US" w:eastAsia="zh-CN"/>
        </w:rPr>
        <w:t>8</w:t>
      </w:r>
      <w:r>
        <w:rPr>
          <w:rFonts w:hint="default"/>
        </w:rPr>
        <w:t>、验收监测的采样记录及分析测试结果，按国家标准和监测技术规范有关要求进行数据处理和填报，并按有关规定和要求进行三级审核</w:t>
      </w:r>
      <w:r>
        <w:t>。</w:t>
      </w:r>
    </w:p>
    <w:p>
      <w:pPr>
        <w:pStyle w:val="3"/>
        <w:outlineLvl w:val="9"/>
        <w:rPr>
          <w:rFonts w:hint="eastAsia"/>
          <w:lang w:val="en-US" w:eastAsia="zh-CN"/>
        </w:rPr>
        <w:sectPr>
          <w:pgSz w:w="11906" w:h="16838"/>
          <w:pgMar w:top="1134" w:right="1080" w:bottom="1134" w:left="108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3"/>
      </w:pPr>
      <w:bookmarkStart w:id="233" w:name="_Toc21031"/>
      <w:r>
        <w:rPr>
          <w:rFonts w:hint="eastAsia"/>
          <w:lang w:val="en-US" w:eastAsia="zh-CN"/>
        </w:rPr>
        <w:t>9、</w:t>
      </w:r>
      <w:r>
        <w:rPr>
          <w:rFonts w:hint="eastAsia"/>
        </w:rPr>
        <w:t>监测分析方法</w:t>
      </w:r>
      <w:bookmarkEnd w:id="230"/>
      <w:bookmarkEnd w:id="231"/>
      <w:bookmarkEnd w:id="233"/>
    </w:p>
    <w:p>
      <w:pPr>
        <w:ind w:firstLine="480"/>
        <w:rPr>
          <w:rFonts w:hint="default"/>
          <w:lang w:val="en-US"/>
        </w:rPr>
      </w:pPr>
      <w:r>
        <w:rPr>
          <w:rFonts w:hint="eastAsia"/>
        </w:rPr>
        <w:t>废水、废气、噪声监测分析方法见表</w:t>
      </w:r>
      <w:r>
        <w:rPr>
          <w:rFonts w:hint="eastAsia"/>
          <w:lang w:val="en-US" w:eastAsia="zh-CN"/>
        </w:rPr>
        <w:t>9</w:t>
      </w:r>
      <w:r>
        <w:rPr>
          <w:rFonts w:hint="eastAsia"/>
        </w:rPr>
        <w:t>.1-1</w:t>
      </w:r>
      <w:r>
        <w:rPr>
          <w:rFonts w:hint="eastAsia"/>
          <w:lang w:eastAsia="zh-CN"/>
        </w:rPr>
        <w:t>和</w:t>
      </w:r>
      <w:r>
        <w:rPr>
          <w:rFonts w:hint="eastAsia"/>
          <w:lang w:val="en-US" w:eastAsia="zh-CN"/>
        </w:rPr>
        <w:t>9.1-2，验收监测期间生产工况记录见表9.2。</w:t>
      </w: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hint="default" w:ascii="Times New Roman" w:hAnsi="Times New Roman"/>
          <w:b/>
          <w:bCs/>
          <w:sz w:val="21"/>
          <w:szCs w:val="21"/>
        </w:rPr>
      </w:pPr>
      <w:r>
        <w:rPr>
          <w:rFonts w:hint="eastAsia" w:ascii="黑体" w:hAnsi="黑体" w:eastAsia="黑体" w:cs="黑体"/>
          <w:b w:val="0"/>
          <w:bCs w:val="0"/>
          <w:sz w:val="24"/>
          <w:szCs w:val="24"/>
        </w:rPr>
        <w:t>表</w:t>
      </w:r>
      <w:r>
        <w:rPr>
          <w:rFonts w:hint="eastAsia" w:eastAsia="黑体" w:cs="黑体"/>
          <w:b w:val="0"/>
          <w:bCs w:val="0"/>
          <w:sz w:val="24"/>
          <w:szCs w:val="24"/>
          <w:lang w:val="en-US" w:eastAsia="zh-CN"/>
        </w:rPr>
        <w:t>9</w:t>
      </w:r>
      <w:r>
        <w:rPr>
          <w:rFonts w:hint="eastAsia" w:ascii="黑体" w:hAnsi="黑体" w:eastAsia="黑体" w:cs="黑体"/>
          <w:b w:val="0"/>
          <w:bCs w:val="0"/>
          <w:sz w:val="24"/>
          <w:szCs w:val="24"/>
        </w:rPr>
        <w:t>.1-1 废水监测分析方法</w:t>
      </w:r>
    </w:p>
    <w:tbl>
      <w:tblPr>
        <w:tblStyle w:val="12"/>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30"/>
        <w:gridCol w:w="3206"/>
        <w:gridCol w:w="2941"/>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tcBorders>
              <w:tl2br w:val="nil"/>
              <w:tr2bl w:val="nil"/>
            </w:tcBorders>
            <w:noWrap w:val="0"/>
            <w:vAlign w:val="center"/>
          </w:tcPr>
          <w:p>
            <w:pPr>
              <w:bidi w:val="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序号</w:t>
            </w:r>
          </w:p>
        </w:tc>
        <w:tc>
          <w:tcPr>
            <w:tcW w:w="1530"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项目</w:t>
            </w:r>
          </w:p>
        </w:tc>
        <w:tc>
          <w:tcPr>
            <w:tcW w:w="3206"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检测方法依据</w:t>
            </w:r>
          </w:p>
        </w:tc>
        <w:tc>
          <w:tcPr>
            <w:tcW w:w="2941"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仪器名称及型号</w:t>
            </w:r>
          </w:p>
        </w:tc>
        <w:tc>
          <w:tcPr>
            <w:tcW w:w="1355"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lang w:val="en-US" w:eastAsia="zh-CN"/>
              </w:rPr>
              <w:t>最低检出限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tcBorders>
              <w:tl2br w:val="nil"/>
              <w:tr2bl w:val="nil"/>
            </w:tcBorders>
            <w:noWrap w:val="0"/>
            <w:vAlign w:val="center"/>
          </w:tcPr>
          <w:p>
            <w:pPr>
              <w:bidi w:val="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1</w:t>
            </w:r>
          </w:p>
        </w:tc>
        <w:tc>
          <w:tcPr>
            <w:tcW w:w="1530"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pH值</w:t>
            </w:r>
          </w:p>
        </w:tc>
        <w:tc>
          <w:tcPr>
            <w:tcW w:w="3206"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rPr>
              <w:t>G</w:t>
            </w:r>
            <w:r>
              <w:rPr>
                <w:rFonts w:hint="default"/>
                <w:sz w:val="21"/>
                <w:szCs w:val="21"/>
              </w:rPr>
              <w:t>B6920-86</w:t>
            </w:r>
            <w:r>
              <w:rPr>
                <w:rFonts w:hint="eastAsia"/>
                <w:sz w:val="21"/>
                <w:szCs w:val="21"/>
              </w:rPr>
              <w:t>《水质p</w:t>
            </w:r>
            <w:r>
              <w:rPr>
                <w:rFonts w:hint="default"/>
                <w:sz w:val="21"/>
                <w:szCs w:val="21"/>
              </w:rPr>
              <w:t>H</w:t>
            </w:r>
            <w:r>
              <w:rPr>
                <w:rFonts w:hint="eastAsia"/>
                <w:sz w:val="21"/>
                <w:szCs w:val="21"/>
              </w:rPr>
              <w:t>值的测定玻璃电极法》</w:t>
            </w:r>
          </w:p>
        </w:tc>
        <w:tc>
          <w:tcPr>
            <w:tcW w:w="2941"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rPr>
              <w:t>D</w:t>
            </w:r>
            <w:r>
              <w:rPr>
                <w:rFonts w:hint="default"/>
                <w:sz w:val="21"/>
                <w:szCs w:val="21"/>
              </w:rPr>
              <w:t>ZB-718</w:t>
            </w:r>
            <w:r>
              <w:rPr>
                <w:rFonts w:hint="eastAsia"/>
                <w:sz w:val="21"/>
                <w:szCs w:val="21"/>
              </w:rPr>
              <w:t>型便携式多参数分析仪</w:t>
            </w:r>
          </w:p>
        </w:tc>
        <w:tc>
          <w:tcPr>
            <w:tcW w:w="1355"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tcBorders>
              <w:tl2br w:val="nil"/>
              <w:tr2bl w:val="nil"/>
            </w:tcBorders>
            <w:noWrap w:val="0"/>
            <w:vAlign w:val="center"/>
          </w:tcPr>
          <w:p>
            <w:pPr>
              <w:bidi w:val="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2</w:t>
            </w:r>
          </w:p>
        </w:tc>
        <w:tc>
          <w:tcPr>
            <w:tcW w:w="1530"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CODcr</w:t>
            </w:r>
          </w:p>
        </w:tc>
        <w:tc>
          <w:tcPr>
            <w:tcW w:w="3206" w:type="dxa"/>
            <w:tcBorders>
              <w:tl2br w:val="nil"/>
              <w:tr2bl w:val="nil"/>
            </w:tcBorders>
            <w:noWrap w:val="0"/>
            <w:vAlign w:val="top"/>
          </w:tcPr>
          <w:p>
            <w:pPr>
              <w:bidi w:val="0"/>
              <w:spacing w:line="240" w:lineRule="auto"/>
              <w:ind w:left="0" w:leftChars="0" w:firstLine="0" w:firstLineChars="0"/>
              <w:jc w:val="center"/>
              <w:rPr>
                <w:rFonts w:hint="default"/>
                <w:sz w:val="21"/>
                <w:szCs w:val="21"/>
              </w:rPr>
            </w:pPr>
            <w:r>
              <w:rPr>
                <w:rFonts w:hint="default"/>
                <w:sz w:val="21"/>
                <w:szCs w:val="21"/>
              </w:rPr>
              <w:t>HJ/T 399-2007</w:t>
            </w:r>
            <w:r>
              <w:rPr>
                <w:rFonts w:hint="eastAsia"/>
                <w:sz w:val="21"/>
                <w:szCs w:val="21"/>
              </w:rPr>
              <w:t>《水质化学需氧量的测定 快速消解分光光度法》</w:t>
            </w:r>
          </w:p>
        </w:tc>
        <w:tc>
          <w:tcPr>
            <w:tcW w:w="2941"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5B-3B</w:t>
            </w:r>
            <w:r>
              <w:rPr>
                <w:rFonts w:hint="eastAsia"/>
                <w:sz w:val="21"/>
                <w:szCs w:val="21"/>
              </w:rPr>
              <w:t>（V</w:t>
            </w:r>
            <w:r>
              <w:rPr>
                <w:rFonts w:hint="default"/>
                <w:sz w:val="21"/>
                <w:szCs w:val="21"/>
              </w:rPr>
              <w:t>8</w:t>
            </w:r>
            <w:r>
              <w:rPr>
                <w:rFonts w:hint="eastAsia"/>
                <w:sz w:val="21"/>
                <w:szCs w:val="21"/>
              </w:rPr>
              <w:t>）型多参数水质测定仪</w:t>
            </w:r>
          </w:p>
        </w:tc>
        <w:tc>
          <w:tcPr>
            <w:tcW w:w="1355"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tcBorders>
              <w:tl2br w:val="nil"/>
              <w:tr2bl w:val="nil"/>
            </w:tcBorders>
            <w:noWrap w:val="0"/>
            <w:vAlign w:val="center"/>
          </w:tcPr>
          <w:p>
            <w:pPr>
              <w:bidi w:val="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3</w:t>
            </w:r>
          </w:p>
        </w:tc>
        <w:tc>
          <w:tcPr>
            <w:tcW w:w="1530"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BOD5</w:t>
            </w:r>
          </w:p>
        </w:tc>
        <w:tc>
          <w:tcPr>
            <w:tcW w:w="3206" w:type="dxa"/>
            <w:tcBorders>
              <w:tl2br w:val="nil"/>
              <w:tr2bl w:val="nil"/>
            </w:tcBorders>
            <w:noWrap w:val="0"/>
            <w:vAlign w:val="top"/>
          </w:tcPr>
          <w:p>
            <w:pPr>
              <w:bidi w:val="0"/>
              <w:spacing w:line="240" w:lineRule="auto"/>
              <w:ind w:left="0" w:leftChars="0" w:firstLine="0" w:firstLineChars="0"/>
              <w:jc w:val="center"/>
              <w:rPr>
                <w:rFonts w:hint="default"/>
                <w:sz w:val="21"/>
                <w:szCs w:val="21"/>
              </w:rPr>
            </w:pPr>
            <w:r>
              <w:rPr>
                <w:rFonts w:hint="default"/>
                <w:sz w:val="21"/>
                <w:szCs w:val="21"/>
              </w:rPr>
              <w:t>HJ505-2009</w:t>
            </w:r>
            <w:r>
              <w:rPr>
                <w:rFonts w:hint="eastAsia"/>
                <w:sz w:val="21"/>
                <w:szCs w:val="21"/>
              </w:rPr>
              <w:t>《水质五日生化需氧量（</w:t>
            </w:r>
            <w:r>
              <w:rPr>
                <w:rFonts w:hint="default"/>
                <w:sz w:val="21"/>
                <w:szCs w:val="21"/>
              </w:rPr>
              <w:t>BOD5</w:t>
            </w:r>
            <w:r>
              <w:rPr>
                <w:rFonts w:hint="eastAsia"/>
                <w:sz w:val="21"/>
                <w:szCs w:val="21"/>
              </w:rPr>
              <w:t>）的测定稀释与接种法》</w:t>
            </w:r>
          </w:p>
        </w:tc>
        <w:tc>
          <w:tcPr>
            <w:tcW w:w="2941"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rPr>
              <w:t>J</w:t>
            </w:r>
            <w:r>
              <w:rPr>
                <w:rFonts w:hint="default"/>
                <w:sz w:val="21"/>
                <w:szCs w:val="21"/>
              </w:rPr>
              <w:t>PSJ-605F</w:t>
            </w:r>
            <w:r>
              <w:rPr>
                <w:rFonts w:hint="eastAsia"/>
                <w:sz w:val="21"/>
                <w:szCs w:val="21"/>
              </w:rPr>
              <w:t>型溶解氧测定仪</w:t>
            </w:r>
          </w:p>
        </w:tc>
        <w:tc>
          <w:tcPr>
            <w:tcW w:w="1355"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tcBorders>
              <w:tl2br w:val="nil"/>
              <w:tr2bl w:val="nil"/>
            </w:tcBorders>
            <w:noWrap w:val="0"/>
            <w:vAlign w:val="center"/>
          </w:tcPr>
          <w:p>
            <w:pPr>
              <w:bidi w:val="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4</w:t>
            </w:r>
          </w:p>
        </w:tc>
        <w:tc>
          <w:tcPr>
            <w:tcW w:w="1530"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悬浮物</w:t>
            </w:r>
          </w:p>
        </w:tc>
        <w:tc>
          <w:tcPr>
            <w:tcW w:w="3206" w:type="dxa"/>
            <w:tcBorders>
              <w:tl2br w:val="nil"/>
              <w:tr2bl w:val="nil"/>
            </w:tcBorders>
            <w:noWrap w:val="0"/>
            <w:vAlign w:val="center"/>
          </w:tcPr>
          <w:p>
            <w:pPr>
              <w:bidi w:val="0"/>
              <w:spacing w:line="240" w:lineRule="auto"/>
              <w:ind w:left="0" w:leftChars="0" w:firstLine="0" w:firstLineChars="0"/>
              <w:jc w:val="center"/>
              <w:rPr>
                <w:rFonts w:hint="eastAsia"/>
                <w:sz w:val="21"/>
                <w:szCs w:val="21"/>
                <w:lang w:eastAsia="zh-CN"/>
              </w:rPr>
            </w:pPr>
            <w:r>
              <w:rPr>
                <w:rFonts w:hint="eastAsia"/>
                <w:sz w:val="21"/>
                <w:szCs w:val="21"/>
              </w:rPr>
              <w:t>G</w:t>
            </w:r>
            <w:r>
              <w:rPr>
                <w:rFonts w:hint="default"/>
                <w:sz w:val="21"/>
                <w:szCs w:val="21"/>
              </w:rPr>
              <w:t>B11901-89</w:t>
            </w:r>
            <w:r>
              <w:rPr>
                <w:rFonts w:hint="eastAsia"/>
                <w:sz w:val="21"/>
                <w:szCs w:val="21"/>
              </w:rPr>
              <w:t>《水质悬浮物的测定重量法》</w:t>
            </w:r>
          </w:p>
        </w:tc>
        <w:tc>
          <w:tcPr>
            <w:tcW w:w="2941"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PT-104/35S型电子分析天平</w:t>
            </w:r>
          </w:p>
        </w:tc>
        <w:tc>
          <w:tcPr>
            <w:tcW w:w="1355"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tcBorders>
              <w:tl2br w:val="nil"/>
              <w:tr2bl w:val="nil"/>
            </w:tcBorders>
            <w:noWrap w:val="0"/>
            <w:vAlign w:val="center"/>
          </w:tcPr>
          <w:p>
            <w:pPr>
              <w:bidi w:val="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5</w:t>
            </w:r>
          </w:p>
        </w:tc>
        <w:tc>
          <w:tcPr>
            <w:tcW w:w="1530"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氨氮</w:t>
            </w:r>
          </w:p>
        </w:tc>
        <w:tc>
          <w:tcPr>
            <w:tcW w:w="3206" w:type="dxa"/>
            <w:tcBorders>
              <w:tl2br w:val="nil"/>
              <w:tr2bl w:val="nil"/>
            </w:tcBorders>
            <w:noWrap w:val="0"/>
            <w:vAlign w:val="top"/>
          </w:tcPr>
          <w:p>
            <w:pPr>
              <w:bidi w:val="0"/>
              <w:spacing w:line="240" w:lineRule="auto"/>
              <w:ind w:left="0" w:leftChars="0" w:firstLine="0" w:firstLineChars="0"/>
              <w:jc w:val="center"/>
              <w:rPr>
                <w:rFonts w:hint="eastAsia"/>
                <w:sz w:val="21"/>
                <w:szCs w:val="21"/>
                <w:lang w:eastAsia="zh-CN"/>
              </w:rPr>
            </w:pPr>
            <w:r>
              <w:rPr>
                <w:rFonts w:hint="default"/>
                <w:sz w:val="21"/>
                <w:szCs w:val="21"/>
              </w:rPr>
              <w:t>HJ535-2009</w:t>
            </w:r>
            <w:r>
              <w:rPr>
                <w:rFonts w:hint="eastAsia"/>
                <w:sz w:val="21"/>
                <w:szCs w:val="21"/>
              </w:rPr>
              <w:t>《水质氨氮的测定纳氏试剂分光光度法》</w:t>
            </w:r>
          </w:p>
        </w:tc>
        <w:tc>
          <w:tcPr>
            <w:tcW w:w="2941"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rPr>
              <w:t>U</w:t>
            </w:r>
            <w:r>
              <w:rPr>
                <w:rFonts w:hint="default"/>
                <w:sz w:val="21"/>
                <w:szCs w:val="21"/>
              </w:rPr>
              <w:t>V-1901PC</w:t>
            </w:r>
            <w:r>
              <w:rPr>
                <w:rFonts w:hint="eastAsia"/>
                <w:sz w:val="21"/>
                <w:szCs w:val="21"/>
              </w:rPr>
              <w:t>双光束紫外可见分光光度计</w:t>
            </w:r>
          </w:p>
        </w:tc>
        <w:tc>
          <w:tcPr>
            <w:tcW w:w="1355"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tcBorders>
              <w:tl2br w:val="nil"/>
              <w:tr2bl w:val="nil"/>
            </w:tcBorders>
            <w:noWrap w:val="0"/>
            <w:vAlign w:val="center"/>
          </w:tcPr>
          <w:p>
            <w:pPr>
              <w:bidi w:val="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6</w:t>
            </w:r>
          </w:p>
        </w:tc>
        <w:tc>
          <w:tcPr>
            <w:tcW w:w="1530"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动植物油</w:t>
            </w:r>
          </w:p>
        </w:tc>
        <w:tc>
          <w:tcPr>
            <w:tcW w:w="3206" w:type="dxa"/>
            <w:tcBorders>
              <w:tl2br w:val="nil"/>
              <w:tr2bl w:val="nil"/>
            </w:tcBorders>
            <w:noWrap w:val="0"/>
            <w:vAlign w:val="top"/>
          </w:tcPr>
          <w:p>
            <w:pPr>
              <w:bidi w:val="0"/>
              <w:spacing w:line="240" w:lineRule="auto"/>
              <w:ind w:left="0" w:leftChars="0" w:firstLine="0" w:firstLineChars="0"/>
              <w:jc w:val="center"/>
              <w:rPr>
                <w:rFonts w:hint="default"/>
                <w:sz w:val="21"/>
                <w:szCs w:val="21"/>
              </w:rPr>
            </w:pPr>
            <w:r>
              <w:rPr>
                <w:rFonts w:hint="eastAsia"/>
                <w:sz w:val="21"/>
                <w:szCs w:val="21"/>
              </w:rPr>
              <w:t>H</w:t>
            </w:r>
            <w:r>
              <w:rPr>
                <w:rFonts w:hint="default"/>
                <w:sz w:val="21"/>
                <w:szCs w:val="21"/>
              </w:rPr>
              <w:t>J637-2018</w:t>
            </w:r>
            <w:r>
              <w:rPr>
                <w:rFonts w:hint="eastAsia"/>
                <w:sz w:val="21"/>
                <w:szCs w:val="21"/>
              </w:rPr>
              <w:t>《水质石油类和动植物油类的测定 红外分光光度计》</w:t>
            </w:r>
          </w:p>
        </w:tc>
        <w:tc>
          <w:tcPr>
            <w:tcW w:w="2941"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rPr>
              <w:t>O</w:t>
            </w:r>
            <w:r>
              <w:rPr>
                <w:rFonts w:hint="default"/>
                <w:sz w:val="21"/>
                <w:szCs w:val="21"/>
              </w:rPr>
              <w:t>IL460</w:t>
            </w:r>
            <w:r>
              <w:rPr>
                <w:rFonts w:hint="eastAsia"/>
                <w:sz w:val="21"/>
                <w:szCs w:val="21"/>
              </w:rPr>
              <w:t>型红外分光测油仪</w:t>
            </w:r>
          </w:p>
        </w:tc>
        <w:tc>
          <w:tcPr>
            <w:tcW w:w="1355"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0.06mg/L</w:t>
            </w:r>
          </w:p>
        </w:tc>
      </w:tr>
    </w:tbl>
    <w:p>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hint="default" w:ascii="Times New Roman" w:hAnsi="Times New Roman"/>
          <w:b/>
          <w:bCs/>
          <w:sz w:val="21"/>
          <w:szCs w:val="21"/>
        </w:rPr>
      </w:pPr>
      <w:r>
        <w:rPr>
          <w:rFonts w:hint="eastAsia" w:ascii="黑体" w:hAnsi="黑体" w:eastAsia="黑体" w:cs="黑体"/>
          <w:b w:val="0"/>
          <w:bCs w:val="0"/>
          <w:sz w:val="24"/>
          <w:szCs w:val="24"/>
        </w:rPr>
        <w:t>表</w:t>
      </w:r>
      <w:r>
        <w:rPr>
          <w:rFonts w:hint="eastAsia" w:eastAsia="黑体" w:cs="黑体"/>
          <w:b w:val="0"/>
          <w:bCs w:val="0"/>
          <w:sz w:val="24"/>
          <w:szCs w:val="24"/>
          <w:lang w:val="en-US" w:eastAsia="zh-CN"/>
        </w:rPr>
        <w:t>9</w:t>
      </w:r>
      <w:r>
        <w:rPr>
          <w:rFonts w:hint="eastAsia" w:ascii="黑体" w:hAnsi="黑体" w:eastAsia="黑体" w:cs="黑体"/>
          <w:b w:val="0"/>
          <w:bCs w:val="0"/>
          <w:sz w:val="24"/>
          <w:szCs w:val="24"/>
        </w:rPr>
        <w:t>.1-</w:t>
      </w:r>
      <w:r>
        <w:rPr>
          <w:rFonts w:hint="eastAsia" w:ascii="黑体" w:hAnsi="黑体" w:eastAsia="黑体" w:cs="黑体"/>
          <w:b w:val="0"/>
          <w:bCs w:val="0"/>
          <w:sz w:val="24"/>
          <w:szCs w:val="24"/>
          <w:lang w:val="en-US" w:eastAsia="zh-CN"/>
        </w:rPr>
        <w:t>2</w:t>
      </w:r>
      <w:r>
        <w:rPr>
          <w:rFonts w:hint="eastAsia" w:ascii="黑体" w:hAnsi="黑体" w:eastAsia="黑体" w:cs="黑体"/>
          <w:b w:val="0"/>
          <w:bCs w:val="0"/>
          <w:sz w:val="24"/>
          <w:szCs w:val="24"/>
        </w:rPr>
        <w:t xml:space="preserve"> </w:t>
      </w:r>
      <w:r>
        <w:rPr>
          <w:rFonts w:hint="eastAsia" w:ascii="黑体" w:hAnsi="黑体" w:eastAsia="黑体" w:cs="黑体"/>
          <w:b w:val="0"/>
          <w:bCs w:val="0"/>
          <w:sz w:val="24"/>
          <w:szCs w:val="24"/>
          <w:lang w:eastAsia="zh-CN"/>
        </w:rPr>
        <w:t>废气、噪声</w:t>
      </w:r>
      <w:r>
        <w:rPr>
          <w:rFonts w:hint="eastAsia" w:ascii="黑体" w:hAnsi="黑体" w:eastAsia="黑体" w:cs="黑体"/>
          <w:b w:val="0"/>
          <w:bCs w:val="0"/>
          <w:sz w:val="24"/>
          <w:szCs w:val="24"/>
        </w:rPr>
        <w:t>监测分析方法</w:t>
      </w:r>
    </w:p>
    <w:tbl>
      <w:tblPr>
        <w:tblStyle w:val="12"/>
        <w:tblW w:w="970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662"/>
        <w:gridCol w:w="1555"/>
        <w:gridCol w:w="3211"/>
        <w:gridCol w:w="2917"/>
        <w:gridCol w:w="1362"/>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序号</w:t>
            </w:r>
          </w:p>
        </w:tc>
        <w:tc>
          <w:tcPr>
            <w:tcW w:w="1555"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项目</w:t>
            </w:r>
          </w:p>
        </w:tc>
        <w:tc>
          <w:tcPr>
            <w:tcW w:w="3211"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检测分析方法</w:t>
            </w:r>
          </w:p>
        </w:tc>
        <w:tc>
          <w:tcPr>
            <w:tcW w:w="2917"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仪器名称及型号</w:t>
            </w:r>
          </w:p>
        </w:tc>
        <w:tc>
          <w:tcPr>
            <w:tcW w:w="1362"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lang w:val="en-US" w:eastAsia="zh-CN"/>
              </w:rPr>
              <w:t>最低检出限</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rPr>
              <w:t>1</w:t>
            </w:r>
          </w:p>
        </w:tc>
        <w:tc>
          <w:tcPr>
            <w:tcW w:w="1555"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rPr>
              <w:t>有组织颗粒物</w:t>
            </w:r>
          </w:p>
        </w:tc>
        <w:tc>
          <w:tcPr>
            <w:tcW w:w="3211"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rPr>
              <w:t>H</w:t>
            </w:r>
            <w:r>
              <w:rPr>
                <w:rFonts w:hint="default"/>
                <w:sz w:val="21"/>
                <w:szCs w:val="21"/>
              </w:rPr>
              <w:t>J836-2014</w:t>
            </w:r>
            <w:r>
              <w:rPr>
                <w:rFonts w:hint="eastAsia"/>
                <w:sz w:val="21"/>
                <w:szCs w:val="21"/>
              </w:rPr>
              <w:t>《固定污染源废气低浓度颗粒物的测定重量法》</w:t>
            </w:r>
          </w:p>
        </w:tc>
        <w:tc>
          <w:tcPr>
            <w:tcW w:w="2917"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PT-104/35S型电子分析天平</w:t>
            </w:r>
          </w:p>
        </w:tc>
        <w:tc>
          <w:tcPr>
            <w:tcW w:w="1362"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rPr>
              <w:t>1</w:t>
            </w:r>
            <w:r>
              <w:rPr>
                <w:rFonts w:hint="default"/>
                <w:sz w:val="21"/>
                <w:szCs w:val="21"/>
              </w:rPr>
              <w:t>.0</w:t>
            </w:r>
            <w:r>
              <w:rPr>
                <w:rFonts w:hint="eastAsia"/>
                <w:sz w:val="21"/>
                <w:szCs w:val="21"/>
              </w:rPr>
              <w:t>mg</w:t>
            </w:r>
            <w:r>
              <w:rPr>
                <w:rFonts w:hint="default"/>
                <w:sz w:val="21"/>
                <w:szCs w:val="21"/>
              </w:rPr>
              <w:t>/</w:t>
            </w:r>
            <w:r>
              <w:rPr>
                <w:rFonts w:hint="eastAsia"/>
                <w:sz w:val="21"/>
                <w:szCs w:val="21"/>
              </w:rPr>
              <w:t xml:space="preserve"> m</w:t>
            </w:r>
            <w:r>
              <w:rPr>
                <w:rFonts w:hint="default"/>
                <w:sz w:val="21"/>
                <w:szCs w:val="21"/>
              </w:rPr>
              <w:t>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rPr>
              <w:t>2</w:t>
            </w:r>
          </w:p>
        </w:tc>
        <w:tc>
          <w:tcPr>
            <w:tcW w:w="1555" w:type="dxa"/>
            <w:tcBorders>
              <w:tl2br w:val="nil"/>
              <w:tr2bl w:val="nil"/>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无组织颗粒物</w:t>
            </w:r>
          </w:p>
        </w:tc>
        <w:tc>
          <w:tcPr>
            <w:tcW w:w="3211"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rPr>
              <w:t>G</w:t>
            </w:r>
            <w:r>
              <w:rPr>
                <w:rFonts w:hint="default"/>
                <w:sz w:val="21"/>
                <w:szCs w:val="21"/>
              </w:rPr>
              <w:t>B/T15432-1995</w:t>
            </w:r>
            <w:r>
              <w:rPr>
                <w:rFonts w:hint="eastAsia"/>
                <w:sz w:val="21"/>
                <w:szCs w:val="21"/>
              </w:rPr>
              <w:t>《环境空气总悬浮颗粒物的测定重量法》</w:t>
            </w:r>
          </w:p>
        </w:tc>
        <w:tc>
          <w:tcPr>
            <w:tcW w:w="2917" w:type="dxa"/>
            <w:tcBorders>
              <w:tl2br w:val="nil"/>
              <w:tr2bl w:val="nil"/>
            </w:tcBorders>
            <w:noWrap w:val="0"/>
            <w:vAlign w:val="center"/>
          </w:tcPr>
          <w:p>
            <w:pPr>
              <w:bidi w:val="0"/>
              <w:spacing w:line="240" w:lineRule="auto"/>
              <w:ind w:left="0" w:leftChars="0" w:firstLine="0" w:firstLineChars="0"/>
              <w:jc w:val="center"/>
              <w:rPr>
                <w:rFonts w:hint="eastAsia"/>
                <w:sz w:val="21"/>
                <w:szCs w:val="21"/>
              </w:rPr>
            </w:pPr>
            <w:r>
              <w:rPr>
                <w:rFonts w:hint="default"/>
                <w:sz w:val="21"/>
                <w:szCs w:val="21"/>
              </w:rPr>
              <w:t>PT-104/35S型电子分析天平</w:t>
            </w:r>
          </w:p>
        </w:tc>
        <w:tc>
          <w:tcPr>
            <w:tcW w:w="1362"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rPr>
              <w:t>0</w:t>
            </w:r>
            <w:r>
              <w:rPr>
                <w:rFonts w:hint="default"/>
                <w:sz w:val="21"/>
                <w:szCs w:val="21"/>
              </w:rPr>
              <w:t>.001</w:t>
            </w:r>
            <w:r>
              <w:rPr>
                <w:rFonts w:hint="eastAsia"/>
                <w:sz w:val="21"/>
                <w:szCs w:val="21"/>
              </w:rPr>
              <w:t>mg</w:t>
            </w:r>
            <w:r>
              <w:rPr>
                <w:rFonts w:hint="default"/>
                <w:sz w:val="21"/>
                <w:szCs w:val="21"/>
              </w:rPr>
              <w:t>/</w:t>
            </w:r>
            <w:r>
              <w:rPr>
                <w:rFonts w:hint="eastAsia"/>
                <w:sz w:val="21"/>
                <w:szCs w:val="21"/>
              </w:rPr>
              <w:t>m</w:t>
            </w:r>
            <w:r>
              <w:rPr>
                <w:rFonts w:hint="default"/>
                <w:sz w:val="21"/>
                <w:szCs w:val="21"/>
              </w:rPr>
              <w:t>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rPr>
              <w:t>3</w:t>
            </w:r>
          </w:p>
        </w:tc>
        <w:tc>
          <w:tcPr>
            <w:tcW w:w="1555"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rPr>
              <w:t>总V</w:t>
            </w:r>
            <w:r>
              <w:rPr>
                <w:rFonts w:hint="default"/>
                <w:sz w:val="21"/>
                <w:szCs w:val="21"/>
              </w:rPr>
              <w:t>OCs</w:t>
            </w:r>
          </w:p>
        </w:tc>
        <w:tc>
          <w:tcPr>
            <w:tcW w:w="3211"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DB44/816-2010</w:t>
            </w:r>
            <w:r>
              <w:rPr>
                <w:rFonts w:hint="eastAsia"/>
                <w:sz w:val="21"/>
                <w:szCs w:val="21"/>
              </w:rPr>
              <w:t>《表面涂装（汽车制造业）挥发性有机化合物排放标准》附录E</w:t>
            </w:r>
          </w:p>
        </w:tc>
        <w:tc>
          <w:tcPr>
            <w:tcW w:w="2917"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rPr>
              <w:t>G</w:t>
            </w:r>
            <w:r>
              <w:rPr>
                <w:rFonts w:hint="default"/>
                <w:sz w:val="21"/>
                <w:szCs w:val="21"/>
              </w:rPr>
              <w:t>C9790</w:t>
            </w:r>
            <w:r>
              <w:rPr>
                <w:rFonts w:hint="eastAsia"/>
                <w:sz w:val="21"/>
                <w:szCs w:val="21"/>
              </w:rPr>
              <w:t>Ⅱ</w:t>
            </w:r>
            <w:r>
              <w:rPr>
                <w:rFonts w:hint="default"/>
                <w:sz w:val="21"/>
                <w:szCs w:val="21"/>
              </w:rPr>
              <w:t>/JX-5</w:t>
            </w:r>
            <w:r>
              <w:rPr>
                <w:rFonts w:hint="eastAsia"/>
                <w:sz w:val="21"/>
                <w:szCs w:val="21"/>
              </w:rPr>
              <w:t>二次热解析-气相色谱仪</w:t>
            </w:r>
          </w:p>
        </w:tc>
        <w:tc>
          <w:tcPr>
            <w:tcW w:w="1362"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rPr>
              <w:t>0</w:t>
            </w:r>
            <w:r>
              <w:rPr>
                <w:rFonts w:hint="default"/>
                <w:sz w:val="21"/>
                <w:szCs w:val="21"/>
              </w:rPr>
              <w:t>.01mg/m3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noWrap w:val="0"/>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4</w:t>
            </w:r>
          </w:p>
        </w:tc>
        <w:tc>
          <w:tcPr>
            <w:tcW w:w="1555" w:type="dxa"/>
            <w:tcBorders>
              <w:tl2br w:val="nil"/>
              <w:tr2bl w:val="nil"/>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甲苯与二甲苯</w:t>
            </w:r>
          </w:p>
        </w:tc>
        <w:tc>
          <w:tcPr>
            <w:tcW w:w="3211" w:type="dxa"/>
            <w:tcBorders>
              <w:tl2br w:val="nil"/>
              <w:tr2bl w:val="nil"/>
            </w:tcBorders>
            <w:noWrap w:val="0"/>
            <w:vAlign w:val="top"/>
          </w:tcPr>
          <w:p>
            <w:pPr>
              <w:bidi w:val="0"/>
              <w:spacing w:line="240" w:lineRule="auto"/>
              <w:ind w:left="0" w:leftChars="0" w:firstLine="0" w:firstLineChars="0"/>
              <w:jc w:val="center"/>
              <w:rPr>
                <w:rFonts w:hint="default"/>
                <w:sz w:val="21"/>
                <w:szCs w:val="21"/>
              </w:rPr>
            </w:pPr>
            <w:r>
              <w:rPr>
                <w:rFonts w:hint="default"/>
                <w:sz w:val="21"/>
                <w:szCs w:val="21"/>
              </w:rPr>
              <w:t>DB44/816-2010</w:t>
            </w:r>
            <w:r>
              <w:rPr>
                <w:rFonts w:hint="eastAsia"/>
                <w:sz w:val="21"/>
                <w:szCs w:val="21"/>
              </w:rPr>
              <w:t>《表面涂装（汽车制造业）挥发性有机化合物排放标准》附录E</w:t>
            </w:r>
          </w:p>
        </w:tc>
        <w:tc>
          <w:tcPr>
            <w:tcW w:w="2917" w:type="dxa"/>
            <w:tcBorders>
              <w:tl2br w:val="nil"/>
              <w:tr2bl w:val="nil"/>
            </w:tcBorders>
            <w:noWrap w:val="0"/>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rPr>
              <w:t>G</w:t>
            </w:r>
            <w:r>
              <w:rPr>
                <w:rFonts w:hint="default"/>
                <w:sz w:val="21"/>
                <w:szCs w:val="21"/>
              </w:rPr>
              <w:t>C9790</w:t>
            </w:r>
            <w:r>
              <w:rPr>
                <w:rFonts w:hint="eastAsia"/>
                <w:sz w:val="21"/>
                <w:szCs w:val="21"/>
              </w:rPr>
              <w:t>Ⅱ</w:t>
            </w:r>
            <w:r>
              <w:rPr>
                <w:rFonts w:hint="default"/>
                <w:sz w:val="21"/>
                <w:szCs w:val="21"/>
              </w:rPr>
              <w:t>/JX-5</w:t>
            </w:r>
            <w:r>
              <w:rPr>
                <w:rFonts w:hint="eastAsia"/>
                <w:sz w:val="21"/>
                <w:szCs w:val="21"/>
              </w:rPr>
              <w:t>二次热解析-气相色谱仪</w:t>
            </w:r>
          </w:p>
        </w:tc>
        <w:tc>
          <w:tcPr>
            <w:tcW w:w="1362" w:type="dxa"/>
            <w:tcBorders>
              <w:tl2br w:val="nil"/>
              <w:tr2bl w:val="nil"/>
            </w:tcBorders>
            <w:noWrap w:val="0"/>
            <w:vAlign w:val="center"/>
          </w:tcPr>
          <w:p>
            <w:pPr>
              <w:bidi w:val="0"/>
              <w:spacing w:line="240" w:lineRule="auto"/>
              <w:ind w:left="0" w:leftChars="0" w:firstLine="0" w:firstLineChars="0"/>
              <w:jc w:val="center"/>
              <w:rPr>
                <w:rFonts w:hint="eastAsia"/>
                <w:sz w:val="21"/>
                <w:szCs w:val="21"/>
              </w:rPr>
            </w:pPr>
            <w:r>
              <w:rPr>
                <w:rFonts w:hint="default"/>
                <w:sz w:val="21"/>
                <w:szCs w:val="21"/>
              </w:rPr>
              <w:t>0.01</w:t>
            </w:r>
            <w:r>
              <w:rPr>
                <w:rFonts w:hint="eastAsia"/>
                <w:sz w:val="21"/>
                <w:szCs w:val="21"/>
              </w:rPr>
              <w:t>mg</w:t>
            </w:r>
            <w:r>
              <w:rPr>
                <w:rFonts w:hint="default"/>
                <w:sz w:val="21"/>
                <w:szCs w:val="21"/>
              </w:rPr>
              <w:t>/</w:t>
            </w:r>
            <w:r>
              <w:rPr>
                <w:rFonts w:hint="eastAsia"/>
                <w:sz w:val="21"/>
                <w:szCs w:val="21"/>
              </w:rPr>
              <w:t>m</w:t>
            </w:r>
            <w:r>
              <w:rPr>
                <w:rFonts w:hint="default"/>
                <w:sz w:val="21"/>
                <w:szCs w:val="21"/>
              </w:rPr>
              <w:t>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noWrap w:val="0"/>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5</w:t>
            </w:r>
          </w:p>
        </w:tc>
        <w:tc>
          <w:tcPr>
            <w:tcW w:w="1555" w:type="dxa"/>
            <w:tcBorders>
              <w:tl2br w:val="nil"/>
              <w:tr2bl w:val="nil"/>
            </w:tcBorders>
            <w:noWrap w:val="0"/>
            <w:vAlign w:val="center"/>
          </w:tcPr>
          <w:p>
            <w:pPr>
              <w:bidi w:val="0"/>
              <w:spacing w:line="240" w:lineRule="auto"/>
              <w:ind w:left="0" w:leftChars="0" w:firstLine="0" w:firstLineChars="0"/>
              <w:jc w:val="center"/>
              <w:rPr>
                <w:rFonts w:hint="eastAsia"/>
                <w:sz w:val="21"/>
                <w:szCs w:val="21"/>
              </w:rPr>
            </w:pPr>
            <w:r>
              <w:rPr>
                <w:rFonts w:hint="eastAsia"/>
                <w:sz w:val="21"/>
                <w:szCs w:val="21"/>
              </w:rPr>
              <w:t>饮食业油烟</w:t>
            </w:r>
          </w:p>
        </w:tc>
        <w:tc>
          <w:tcPr>
            <w:tcW w:w="3211" w:type="dxa"/>
            <w:tcBorders>
              <w:tl2br w:val="nil"/>
              <w:tr2bl w:val="nil"/>
            </w:tcBorders>
            <w:noWrap w:val="0"/>
            <w:vAlign w:val="top"/>
          </w:tcPr>
          <w:p>
            <w:pPr>
              <w:bidi w:val="0"/>
              <w:spacing w:line="240" w:lineRule="auto"/>
              <w:ind w:left="0" w:leftChars="0" w:firstLine="0" w:firstLineChars="0"/>
              <w:jc w:val="center"/>
              <w:rPr>
                <w:rFonts w:hint="default"/>
                <w:sz w:val="21"/>
                <w:szCs w:val="21"/>
              </w:rPr>
            </w:pPr>
            <w:r>
              <w:rPr>
                <w:rFonts w:hint="eastAsia"/>
                <w:sz w:val="21"/>
                <w:szCs w:val="21"/>
              </w:rPr>
              <w:t>C</w:t>
            </w:r>
            <w:r>
              <w:rPr>
                <w:rFonts w:hint="default"/>
                <w:sz w:val="21"/>
                <w:szCs w:val="21"/>
              </w:rPr>
              <w:t xml:space="preserve">B18483-2001 </w:t>
            </w:r>
            <w:r>
              <w:rPr>
                <w:rFonts w:hint="eastAsia"/>
                <w:sz w:val="21"/>
                <w:szCs w:val="21"/>
              </w:rPr>
              <w:t>《饮食业油烟排放标准》（试行）附录A</w:t>
            </w:r>
          </w:p>
        </w:tc>
        <w:tc>
          <w:tcPr>
            <w:tcW w:w="2917" w:type="dxa"/>
            <w:tcBorders>
              <w:tl2br w:val="nil"/>
              <w:tr2bl w:val="nil"/>
            </w:tcBorders>
            <w:noWrap w:val="0"/>
            <w:vAlign w:val="center"/>
          </w:tcPr>
          <w:p>
            <w:pPr>
              <w:bidi w:val="0"/>
              <w:spacing w:line="240" w:lineRule="auto"/>
              <w:ind w:left="0" w:leftChars="0" w:firstLine="0" w:firstLineChars="0"/>
              <w:jc w:val="center"/>
              <w:rPr>
                <w:rFonts w:hint="eastAsia"/>
                <w:sz w:val="21"/>
                <w:szCs w:val="21"/>
                <w:lang w:val="en-US" w:eastAsia="zh-CN"/>
              </w:rPr>
            </w:pPr>
            <w:r>
              <w:rPr>
                <w:rFonts w:hint="eastAsia"/>
                <w:sz w:val="21"/>
                <w:szCs w:val="21"/>
              </w:rPr>
              <w:t>O</w:t>
            </w:r>
            <w:r>
              <w:rPr>
                <w:rFonts w:hint="default"/>
                <w:sz w:val="21"/>
                <w:szCs w:val="21"/>
              </w:rPr>
              <w:t>IL460</w:t>
            </w:r>
            <w:r>
              <w:rPr>
                <w:rFonts w:hint="eastAsia"/>
                <w:sz w:val="21"/>
                <w:szCs w:val="21"/>
              </w:rPr>
              <w:t>型红外分光测油仪</w:t>
            </w:r>
          </w:p>
        </w:tc>
        <w:tc>
          <w:tcPr>
            <w:tcW w:w="1362" w:type="dxa"/>
            <w:tcBorders>
              <w:tl2br w:val="nil"/>
              <w:tr2bl w:val="nil"/>
            </w:tcBorders>
            <w:noWrap w:val="0"/>
            <w:vAlign w:val="center"/>
          </w:tcPr>
          <w:p>
            <w:pPr>
              <w:bidi w:val="0"/>
              <w:spacing w:line="240" w:lineRule="auto"/>
              <w:ind w:left="0" w:leftChars="0" w:firstLine="0" w:firstLineChars="0"/>
              <w:jc w:val="center"/>
              <w:rPr>
                <w:rFonts w:hint="eastAsia"/>
                <w:sz w:val="21"/>
                <w:szCs w:val="21"/>
                <w:lang w:eastAsia="zh-CN"/>
              </w:rPr>
            </w:pPr>
            <w:r>
              <w:rPr>
                <w:rFonts w:hint="eastAsia"/>
                <w:sz w:val="21"/>
                <w:szCs w:val="21"/>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rPr>
              <w:t>4</w:t>
            </w:r>
          </w:p>
        </w:tc>
        <w:tc>
          <w:tcPr>
            <w:tcW w:w="1555"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eastAsia"/>
                <w:sz w:val="21"/>
                <w:szCs w:val="21"/>
              </w:rPr>
              <w:t>厂界环境噪声</w:t>
            </w:r>
          </w:p>
        </w:tc>
        <w:tc>
          <w:tcPr>
            <w:tcW w:w="3211" w:type="dxa"/>
            <w:tcBorders>
              <w:tl2br w:val="nil"/>
              <w:tr2bl w:val="nil"/>
            </w:tcBorders>
            <w:noWrap w:val="0"/>
            <w:vAlign w:val="top"/>
          </w:tcPr>
          <w:p>
            <w:pPr>
              <w:bidi w:val="0"/>
              <w:spacing w:line="240" w:lineRule="auto"/>
              <w:ind w:left="0" w:leftChars="0" w:firstLine="0" w:firstLineChars="0"/>
              <w:jc w:val="center"/>
              <w:rPr>
                <w:rFonts w:hint="default"/>
                <w:sz w:val="21"/>
                <w:szCs w:val="21"/>
              </w:rPr>
            </w:pPr>
            <w:r>
              <w:rPr>
                <w:rFonts w:hint="default"/>
                <w:sz w:val="21"/>
                <w:szCs w:val="21"/>
              </w:rPr>
              <w:t>GB12348-2008</w:t>
            </w:r>
            <w:r>
              <w:rPr>
                <w:rFonts w:hint="eastAsia"/>
                <w:sz w:val="21"/>
                <w:szCs w:val="21"/>
              </w:rPr>
              <w:t>《</w:t>
            </w:r>
            <w:r>
              <w:rPr>
                <w:rFonts w:hint="default"/>
                <w:sz w:val="21"/>
                <w:szCs w:val="21"/>
              </w:rPr>
              <w:t>工业企业厂界环境噪声排放标</w:t>
            </w:r>
            <w:r>
              <w:rPr>
                <w:rFonts w:hint="eastAsia"/>
                <w:sz w:val="21"/>
                <w:szCs w:val="21"/>
              </w:rPr>
              <w:t>准》</w:t>
            </w:r>
          </w:p>
        </w:tc>
        <w:tc>
          <w:tcPr>
            <w:tcW w:w="2917" w:type="dxa"/>
            <w:tcBorders>
              <w:tl2br w:val="nil"/>
              <w:tr2bl w:val="nil"/>
            </w:tcBorders>
            <w:noWrap w:val="0"/>
            <w:vAlign w:val="center"/>
          </w:tcPr>
          <w:p>
            <w:pPr>
              <w:bidi w:val="0"/>
              <w:spacing w:line="240" w:lineRule="auto"/>
              <w:ind w:left="0" w:leftChars="0" w:firstLine="0" w:firstLineChars="0"/>
              <w:jc w:val="center"/>
              <w:rPr>
                <w:rFonts w:hint="default"/>
                <w:sz w:val="21"/>
                <w:szCs w:val="21"/>
              </w:rPr>
            </w:pPr>
            <w:r>
              <w:rPr>
                <w:rFonts w:hint="default"/>
                <w:sz w:val="21"/>
                <w:szCs w:val="21"/>
              </w:rPr>
              <w:t>AWA6228+</w:t>
            </w:r>
            <w:r>
              <w:rPr>
                <w:rFonts w:hint="eastAsia"/>
                <w:sz w:val="21"/>
                <w:szCs w:val="21"/>
              </w:rPr>
              <w:t>多功能声级计</w:t>
            </w:r>
          </w:p>
        </w:tc>
        <w:tc>
          <w:tcPr>
            <w:tcW w:w="1362" w:type="dxa"/>
            <w:tcBorders>
              <w:tl2br w:val="nil"/>
              <w:tr2bl w:val="nil"/>
            </w:tcBorders>
            <w:noWrap w:val="0"/>
            <w:vAlign w:val="center"/>
          </w:tcPr>
          <w:p>
            <w:pPr>
              <w:bidi w:val="0"/>
              <w:spacing w:line="240" w:lineRule="auto"/>
              <w:ind w:left="0" w:leftChars="0" w:firstLine="0" w:firstLineChars="0"/>
              <w:jc w:val="center"/>
              <w:rPr>
                <w:rFonts w:hint="eastAsia"/>
                <w:sz w:val="21"/>
                <w:szCs w:val="21"/>
                <w:lang w:eastAsia="zh-CN"/>
              </w:rPr>
            </w:pPr>
            <w:r>
              <w:rPr>
                <w:rFonts w:hint="eastAsia"/>
                <w:sz w:val="21"/>
                <w:szCs w:val="21"/>
                <w:lang w:eastAsia="zh-CN"/>
              </w:rPr>
              <w:t>——</w:t>
            </w:r>
          </w:p>
        </w:tc>
      </w:tr>
    </w:tbl>
    <w:p>
      <w:pPr>
        <w:pStyle w:val="2"/>
        <w:spacing w:line="360" w:lineRule="auto"/>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9.2  验收监测期间生产工况记录</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6710"/>
        <w:gridCol w:w="2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序号</w:t>
            </w:r>
          </w:p>
        </w:tc>
        <w:tc>
          <w:tcPr>
            <w:tcW w:w="6750" w:type="dxa"/>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设备</w:t>
            </w:r>
          </w:p>
        </w:tc>
        <w:tc>
          <w:tcPr>
            <w:tcW w:w="2526" w:type="dxa"/>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w:t>
            </w:r>
          </w:p>
        </w:tc>
        <w:tc>
          <w:tcPr>
            <w:tcW w:w="6750" w:type="dxa"/>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轮毂装配区设备1组，机舱装配区设备1组，总装检测设备1组，液压设备1组，质检设备1组，仓库运输、升降设备1组，柴油平板车2台，双梁桥式起重机10台，悬臂起重机7台，双梁龙门式起重机1台</w:t>
            </w:r>
          </w:p>
        </w:tc>
        <w:tc>
          <w:tcPr>
            <w:tcW w:w="2526" w:type="dxa"/>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组装过程正常运行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w:t>
            </w:r>
          </w:p>
        </w:tc>
        <w:tc>
          <w:tcPr>
            <w:tcW w:w="6750" w:type="dxa"/>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清洗棚原构件清洗</w:t>
            </w:r>
          </w:p>
        </w:tc>
        <w:tc>
          <w:tcPr>
            <w:tcW w:w="2526" w:type="dxa"/>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人工清洗正常运行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3</w:t>
            </w:r>
          </w:p>
        </w:tc>
        <w:tc>
          <w:tcPr>
            <w:tcW w:w="6750" w:type="dxa"/>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补漆间机对机舱外观局部修补</w:t>
            </w:r>
          </w:p>
        </w:tc>
        <w:tc>
          <w:tcPr>
            <w:tcW w:w="2526" w:type="dxa"/>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人工涂漆正常运行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4</w:t>
            </w:r>
          </w:p>
        </w:tc>
        <w:tc>
          <w:tcPr>
            <w:tcW w:w="6750" w:type="dxa"/>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有机废气处理设施+油烟净化设施</w:t>
            </w:r>
          </w:p>
        </w:tc>
        <w:tc>
          <w:tcPr>
            <w:tcW w:w="2526" w:type="dxa"/>
            <w:vAlign w:val="center"/>
          </w:tcPr>
          <w:p>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正常运行</w:t>
            </w:r>
          </w:p>
        </w:tc>
      </w:tr>
    </w:tbl>
    <w:p>
      <w:pPr>
        <w:pStyle w:val="2"/>
        <w:spacing w:line="360" w:lineRule="auto"/>
        <w:jc w:val="center"/>
        <w:rPr>
          <w:rFonts w:hint="default" w:ascii="黑体" w:hAnsi="黑体" w:eastAsia="黑体" w:cs="黑体"/>
          <w:b w:val="0"/>
          <w:bCs w:val="0"/>
          <w:sz w:val="24"/>
          <w:szCs w:val="24"/>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pPr>
      <w:bookmarkStart w:id="234" w:name="_Toc12964"/>
      <w:r>
        <w:rPr>
          <w:rFonts w:hint="eastAsia"/>
          <w:lang w:val="en-US" w:eastAsia="zh-CN"/>
        </w:rPr>
        <w:t>10、</w:t>
      </w:r>
      <w:r>
        <w:rPr>
          <w:rFonts w:hint="eastAsia"/>
        </w:rPr>
        <w:t>验收监测内容</w:t>
      </w:r>
      <w:bookmarkEnd w:id="234"/>
    </w:p>
    <w:p>
      <w:pPr>
        <w:pStyle w:val="4"/>
      </w:pPr>
      <w:bookmarkStart w:id="235" w:name="_Toc7457"/>
      <w:r>
        <w:rPr>
          <w:rFonts w:hint="eastAsia"/>
          <w:lang w:val="en-US" w:eastAsia="zh-CN"/>
        </w:rPr>
        <w:t>10</w:t>
      </w:r>
      <w:r>
        <w:t>.1</w:t>
      </w:r>
      <w:r>
        <w:rPr>
          <w:rFonts w:hint="eastAsia"/>
        </w:rPr>
        <w:t>废水监测</w:t>
      </w:r>
      <w:bookmarkEnd w:id="235"/>
    </w:p>
    <w:p>
      <w:pPr>
        <w:ind w:firstLine="480"/>
        <w:rPr>
          <w:rFonts w:hint="default" w:ascii="Times New Roman" w:hAnsi="Times New Roman" w:cs="Times New Roman" w:eastAsiaTheme="minorEastAsia"/>
        </w:rPr>
      </w:pPr>
      <w:r>
        <w:rPr>
          <w:rFonts w:hint="default" w:ascii="Times New Roman" w:hAnsi="Times New Roman" w:cs="Times New Roman" w:eastAsiaTheme="minorEastAsia"/>
        </w:rPr>
        <w:t>项目生活污水处理后排放口监测结果见表</w:t>
      </w:r>
      <w:r>
        <w:rPr>
          <w:rFonts w:hint="eastAsia" w:cs="Times New Roman" w:eastAsiaTheme="minorEastAsia"/>
          <w:lang w:val="en-US" w:eastAsia="zh-CN"/>
        </w:rPr>
        <w:t>10-1</w:t>
      </w:r>
      <w:r>
        <w:rPr>
          <w:rFonts w:hint="default" w:ascii="Times New Roman" w:hAnsi="Times New Roman" w:cs="Times New Roman" w:eastAsiaTheme="minorEastAsia"/>
        </w:rPr>
        <w:t>：</w:t>
      </w:r>
    </w:p>
    <w:p>
      <w:pPr>
        <w:pStyle w:val="2"/>
        <w:spacing w:line="360" w:lineRule="auto"/>
        <w:jc w:val="center"/>
        <w:rPr>
          <w:rFonts w:hint="default" w:ascii="Times New Roman" w:hAnsi="Times New Roman" w:cs="Times New Roman" w:eastAsiaTheme="minorEastAsia"/>
          <w:lang w:val="en-US" w:eastAsia="zh-CN"/>
        </w:rPr>
      </w:pPr>
      <w:r>
        <w:rPr>
          <w:rFonts w:hint="eastAsia" w:ascii="黑体" w:hAnsi="黑体" w:eastAsia="黑体" w:cs="黑体"/>
          <w:b w:val="0"/>
          <w:bCs w:val="0"/>
          <w:sz w:val="24"/>
          <w:szCs w:val="24"/>
          <w:lang w:val="en-US" w:eastAsia="zh-CN"/>
        </w:rPr>
        <w:t>表10-1  废水检测结果</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2575"/>
        <w:gridCol w:w="15"/>
        <w:gridCol w:w="1426"/>
        <w:gridCol w:w="15"/>
        <w:gridCol w:w="1426"/>
        <w:gridCol w:w="15"/>
        <w:gridCol w:w="1426"/>
        <w:gridCol w:w="15"/>
        <w:gridCol w:w="1426"/>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0042" w:type="dxa"/>
            <w:gridSpan w:val="11"/>
            <w:shd w:val="clear" w:color="auto" w:fill="auto"/>
            <w:noWrap w:val="0"/>
            <w:vAlign w:val="top"/>
          </w:tcPr>
          <w:p>
            <w:pPr>
              <w:spacing w:line="360" w:lineRule="auto"/>
              <w:ind w:left="0" w:leftChars="0" w:firstLine="0" w:firstLineChars="0"/>
              <w:rPr>
                <w:rFonts w:hint="eastAsia"/>
                <w:bCs/>
                <w:color w:val="000000"/>
                <w:szCs w:val="21"/>
              </w:rPr>
            </w:pPr>
            <w:r>
              <w:rPr>
                <w:rFonts w:hint="eastAsia"/>
                <w:b/>
                <w:bCs w:val="0"/>
                <w:szCs w:val="21"/>
              </w:rPr>
              <w:t>样品性状：</w:t>
            </w:r>
            <w:r>
              <w:rPr>
                <w:rFonts w:hint="eastAsia"/>
                <w:bCs/>
                <w:color w:val="000000"/>
                <w:szCs w:val="21"/>
              </w:rPr>
              <w:t>少量浮渣、液体。</w:t>
            </w:r>
          </w:p>
          <w:p>
            <w:pPr>
              <w:spacing w:line="360" w:lineRule="auto"/>
              <w:ind w:left="0" w:leftChars="0" w:firstLine="0" w:firstLineChars="0"/>
              <w:rPr>
                <w:rFonts w:hint="eastAsia"/>
                <w:bCs/>
                <w:color w:val="FF0000"/>
                <w:szCs w:val="21"/>
              </w:rPr>
            </w:pPr>
            <w:r>
              <w:rPr>
                <w:rFonts w:hint="eastAsia"/>
                <w:b/>
                <w:bCs w:val="0"/>
                <w:szCs w:val="21"/>
              </w:rPr>
              <w:t>执行标准：</w:t>
            </w:r>
            <w:r>
              <w:rPr>
                <w:rFonts w:hint="eastAsia"/>
                <w:bCs/>
                <w:szCs w:val="21"/>
              </w:rPr>
              <w:t>《</w:t>
            </w:r>
            <w:r>
              <w:rPr>
                <w:szCs w:val="21"/>
              </w:rPr>
              <w:t>水污染物排放限值</w:t>
            </w:r>
            <w:r>
              <w:rPr>
                <w:rFonts w:hint="eastAsia"/>
                <w:bCs/>
                <w:szCs w:val="21"/>
              </w:rPr>
              <w:t>》</w:t>
            </w:r>
            <w:r>
              <w:rPr>
                <w:szCs w:val="21"/>
              </w:rPr>
              <w:t>（DB44/26-2001）</w:t>
            </w:r>
            <w:r>
              <w:rPr>
                <w:rFonts w:hint="eastAsia"/>
                <w:szCs w:val="21"/>
              </w:rPr>
              <w:t>中表4第二类污染物最高允许排放浓度（</w:t>
            </w:r>
            <w:r>
              <w:rPr>
                <w:szCs w:val="21"/>
              </w:rPr>
              <w:t>第二时段</w:t>
            </w:r>
            <w:r>
              <w:rPr>
                <w:rFonts w:hint="eastAsia"/>
                <w:szCs w:val="21"/>
              </w:rPr>
              <w:t>）的</w:t>
            </w:r>
            <w:r>
              <w:rPr>
                <w:szCs w:val="21"/>
              </w:rPr>
              <w:t>三级标准</w:t>
            </w:r>
            <w:r>
              <w:rPr>
                <w:rFonts w:hint="eastAsia"/>
                <w:bCs/>
                <w:szCs w:val="21"/>
              </w:rPr>
              <w:t>。</w:t>
            </w:r>
            <w:r>
              <w:rPr>
                <w:bCs/>
                <w:szCs w:val="21"/>
              </w:rPr>
              <w:t xml:space="preserve">              </w:t>
            </w:r>
            <w:r>
              <w:rPr>
                <w:rFonts w:hint="eastAsia"/>
                <w:bCs/>
                <w:szCs w:val="21"/>
              </w:rPr>
              <w:t xml:space="preserve"> </w:t>
            </w:r>
            <w:r>
              <w:rPr>
                <w:bCs/>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10042" w:type="dxa"/>
            <w:gridSpan w:val="11"/>
            <w:shd w:val="clear" w:color="auto" w:fill="auto"/>
            <w:noWrap w:val="0"/>
            <w:vAlign w:val="top"/>
          </w:tcPr>
          <w:p>
            <w:pPr>
              <w:spacing w:line="276" w:lineRule="auto"/>
              <w:jc w:val="center"/>
              <w:rPr>
                <w:rFonts w:hint="eastAsia"/>
                <w:bCs/>
                <w:szCs w:val="21"/>
              </w:rPr>
            </w:pPr>
            <w:r>
              <w:rPr>
                <w:rFonts w:hint="eastAsia"/>
                <w:bCs/>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92" w:type="dxa"/>
            <w:vMerge w:val="restart"/>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序号</w:t>
            </w:r>
          </w:p>
        </w:tc>
        <w:tc>
          <w:tcPr>
            <w:tcW w:w="2575" w:type="dxa"/>
            <w:vMerge w:val="restart"/>
            <w:shd w:val="clear" w:color="auto" w:fill="auto"/>
            <w:noWrap w:val="0"/>
            <w:vAlign w:val="center"/>
          </w:tcPr>
          <w:p>
            <w:pPr>
              <w:spacing w:line="360" w:lineRule="auto"/>
              <w:ind w:firstLine="960" w:firstLineChars="400"/>
              <w:jc w:val="left"/>
              <w:rPr>
                <w:rFonts w:hint="eastAsia"/>
                <w:bCs/>
                <w:szCs w:val="21"/>
              </w:rPr>
            </w:pPr>
            <w:r>
              <w:rPr>
                <w:rFonts w:hint="eastAsia"/>
                <w:bCs/>
                <w:szCs w:val="21"/>
              </w:rPr>
              <mc:AlternateContent>
                <mc:Choice Requires="wps">
                  <w:drawing>
                    <wp:anchor distT="0" distB="0" distL="114300" distR="114300" simplePos="0" relativeHeight="251755520" behindDoc="0" locked="0" layoutInCell="1" allowOverlap="1">
                      <wp:simplePos x="0" y="0"/>
                      <wp:positionH relativeFrom="column">
                        <wp:posOffset>-46990</wp:posOffset>
                      </wp:positionH>
                      <wp:positionV relativeFrom="paragraph">
                        <wp:posOffset>30480</wp:posOffset>
                      </wp:positionV>
                      <wp:extent cx="1598295" cy="889000"/>
                      <wp:effectExtent l="2540" t="4445" r="18415" b="20955"/>
                      <wp:wrapNone/>
                      <wp:docPr id="26" name="直接箭头连接符 26"/>
                      <wp:cNvGraphicFramePr/>
                      <a:graphic xmlns:a="http://schemas.openxmlformats.org/drawingml/2006/main">
                        <a:graphicData uri="http://schemas.microsoft.com/office/word/2010/wordprocessingShape">
                          <wps:wsp>
                            <wps:cNvCnPr/>
                            <wps:spPr>
                              <a:xfrm>
                                <a:off x="0" y="0"/>
                                <a:ext cx="1598295" cy="8890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7pt;margin-top:2.4pt;height:70pt;width:125.85pt;z-index:251755520;mso-width-relative:page;mso-height-relative:page;" filled="f" stroked="t" coordsize="21600,21600" o:gfxdata="UEsDBAoAAAAAAIdO4kAAAAAAAAAAAAAAAAAEAAAAZHJzL1BLAwQUAAAACACHTuJAGaydndYAAAAI&#10;AQAADwAAAGRycy9kb3ducmV2LnhtbE2PwU7DMBBE70j8g7VIXFBrJxhaQpwKIXHgSFuJqxsvSSBe&#10;R7HTlH49ywmOO/M0O1NuTr4XRxxjF8hAtlQgkOrgOmoM7HcvizWImCw52wdCA98YYVNdXpS2cGGm&#10;NzxuUyM4hGJhDbQpDYWUsW7R27gMAxJ7H2H0NvE5NtKNduZw38tcqXvpbUf8obUDPrdYf20nbwDj&#10;dJeppwff7F/P8817fv6ch50x11eZegSR8JT+YPitz9Wh4k6HMJGLojewWGkmDWgewHau9S2IA3Oa&#10;FVmV8v+A6gdQSwMEFAAAAAgAh07iQON6Q5/pAQAApQMAAA4AAABkcnMvZTJvRG9jLnhtbK1TS44T&#10;MRDdI3EHy3vSnUgZJa10ZpEwbBBEAg5Q8afbkn+yTTq5BBdAYgWsgNXsOQ0Mx6DshMwMbBCiF+6y&#10;q+pVvefy4nJvNNmJEJWzLR2PakqEZY4r27X01curRzNKYgLLQTsrWnoQkV4uHz5YDL4RE9c7zUUg&#10;CGJjM/iW9in5pqoi64WBOHJeWHRKFwwk3Iau4gEGRDe6mtT1RTW4wH1wTMSIp+ujky4LvpSCpedS&#10;RpGIbin2lsoayrrNa7VcQNMF8L1ipzbgH7owoCwWPUOtIQF5HdQfUEax4KKTacScqZyUionCAdmM&#10;69/YvOjBi8IFxYn+LFP8f7Ds2W4TiOItnVxQYsHgHd28vf7+5sPNl8/f3l//+Pou258+EvSjWIOP&#10;Deas7CacdtFvQma+l8HkP3Ii+yLw4Syw2CfC8HA8nc8m8yklDH2z2byuyw1Ut9k+xPREOEOy0dKY&#10;AqiuTytnLd6lC+OiMuyexoT1MfFXQi6tLRlaOp9OcgXAaZIaEprGI79ou5IbnVb8SmmdM2Lotisd&#10;yA7yfJQvs0Tce2G5yBpif4wrruPk9AL4Y8tJOngUzuKI09yCEZwSLfBFZAsBoUmg9N9EYmltsYMs&#10;9FHabG0dPxTFyznOQunxNLd52O7uS/bt61r+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msnZ3W&#10;AAAACAEAAA8AAAAAAAAAAQAgAAAAIgAAAGRycy9kb3ducmV2LnhtbFBLAQIUABQAAAAIAIdO4kDj&#10;ekOf6QEAAKUDAAAOAAAAAAAAAAEAIAAAACUBAABkcnMvZTJvRG9jLnhtbFBLBQYAAAAABgAGAFkB&#10;AACABQAAAAA=&#10;">
                      <v:fill on="f" focussize="0,0"/>
                      <v:stroke color="#000000" joinstyle="round"/>
                      <v:imagedata o:title=""/>
                      <o:lock v:ext="edit" aspectratio="f"/>
                    </v:shape>
                  </w:pict>
                </mc:Fallback>
              </mc:AlternateContent>
            </w:r>
            <w:r>
              <w:rPr>
                <w:bCs/>
                <w:szCs w:val="21"/>
              </w:rPr>
              <w:t xml:space="preserve"> </w:t>
            </w:r>
            <w:r>
              <w:rPr>
                <w:rFonts w:hint="eastAsia"/>
                <w:bCs/>
                <w:szCs w:val="21"/>
              </w:rPr>
              <w:t>检测点位、时间</w:t>
            </w:r>
            <w:r>
              <w:rPr>
                <w:bCs/>
                <w:szCs w:val="21"/>
              </w:rPr>
              <w:t xml:space="preserve">     </w:t>
            </w:r>
            <w:r>
              <w:rPr>
                <w:rFonts w:hint="eastAsia"/>
                <w:bCs/>
                <w:szCs w:val="21"/>
                <w:lang w:val="en-US" w:eastAsia="zh-CN"/>
              </w:rPr>
              <w:t xml:space="preserve">  </w:t>
            </w:r>
            <w:r>
              <w:rPr>
                <w:rFonts w:hint="eastAsia"/>
                <w:bCs/>
                <w:szCs w:val="21"/>
              </w:rPr>
              <w:t>分析项目</w:t>
            </w:r>
          </w:p>
        </w:tc>
        <w:tc>
          <w:tcPr>
            <w:tcW w:w="5764" w:type="dxa"/>
            <w:gridSpan w:val="8"/>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污水总排放口</w:t>
            </w:r>
          </w:p>
        </w:tc>
        <w:tc>
          <w:tcPr>
            <w:tcW w:w="1011" w:type="dxa"/>
            <w:vMerge w:val="restart"/>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标准</w:t>
            </w:r>
          </w:p>
          <w:p>
            <w:pPr>
              <w:spacing w:line="360" w:lineRule="auto"/>
              <w:ind w:left="0" w:leftChars="0" w:firstLine="0" w:firstLineChars="0"/>
              <w:jc w:val="center"/>
              <w:rPr>
                <w:rFonts w:hint="eastAsia"/>
                <w:bCs/>
                <w:szCs w:val="21"/>
              </w:rPr>
            </w:pPr>
            <w:r>
              <w:rPr>
                <w:rFonts w:hint="eastAsia"/>
                <w:bCs/>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92" w:type="dxa"/>
            <w:vMerge w:val="continue"/>
            <w:shd w:val="clear" w:color="auto" w:fill="auto"/>
            <w:noWrap w:val="0"/>
            <w:vAlign w:val="center"/>
          </w:tcPr>
          <w:p>
            <w:pPr>
              <w:spacing w:line="360" w:lineRule="auto"/>
              <w:jc w:val="center"/>
              <w:rPr>
                <w:rFonts w:hint="eastAsia"/>
                <w:bCs/>
                <w:szCs w:val="21"/>
              </w:rPr>
            </w:pPr>
          </w:p>
        </w:tc>
        <w:tc>
          <w:tcPr>
            <w:tcW w:w="2575" w:type="dxa"/>
            <w:vMerge w:val="continue"/>
            <w:shd w:val="clear" w:color="auto" w:fill="auto"/>
            <w:noWrap w:val="0"/>
            <w:vAlign w:val="center"/>
          </w:tcPr>
          <w:p>
            <w:pPr>
              <w:spacing w:line="360" w:lineRule="auto"/>
              <w:jc w:val="left"/>
              <w:rPr>
                <w:rFonts w:hint="eastAsia"/>
                <w:bCs/>
                <w:szCs w:val="21"/>
              </w:rPr>
            </w:pPr>
          </w:p>
        </w:tc>
        <w:tc>
          <w:tcPr>
            <w:tcW w:w="5764" w:type="dxa"/>
            <w:gridSpan w:val="8"/>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6月18日</w:t>
            </w:r>
          </w:p>
        </w:tc>
        <w:tc>
          <w:tcPr>
            <w:tcW w:w="1011" w:type="dxa"/>
            <w:vMerge w:val="continue"/>
            <w:shd w:val="clear" w:color="auto" w:fill="auto"/>
            <w:noWrap w:val="0"/>
            <w:vAlign w:val="center"/>
          </w:tcPr>
          <w:p>
            <w:pPr>
              <w:spacing w:line="360" w:lineRule="auto"/>
              <w:ind w:left="0" w:leftChars="0" w:firstLine="0" w:firstLineChars="0"/>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92" w:type="dxa"/>
            <w:vMerge w:val="continue"/>
            <w:shd w:val="clear" w:color="auto" w:fill="auto"/>
            <w:noWrap w:val="0"/>
            <w:vAlign w:val="center"/>
          </w:tcPr>
          <w:p>
            <w:pPr>
              <w:spacing w:line="360" w:lineRule="auto"/>
              <w:jc w:val="center"/>
              <w:rPr>
                <w:rFonts w:hint="eastAsia"/>
                <w:bCs/>
                <w:szCs w:val="21"/>
              </w:rPr>
            </w:pPr>
          </w:p>
        </w:tc>
        <w:tc>
          <w:tcPr>
            <w:tcW w:w="2575" w:type="dxa"/>
            <w:vMerge w:val="continue"/>
            <w:shd w:val="clear" w:color="auto" w:fill="auto"/>
            <w:noWrap w:val="0"/>
            <w:vAlign w:val="center"/>
          </w:tcPr>
          <w:p>
            <w:pPr>
              <w:spacing w:line="360" w:lineRule="auto"/>
              <w:jc w:val="center"/>
              <w:rPr>
                <w:rFonts w:hint="eastAsia"/>
                <w:bCs/>
                <w:szCs w:val="21"/>
              </w:rPr>
            </w:pP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9:30</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11:30</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13:30</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15:30</w:t>
            </w:r>
          </w:p>
        </w:tc>
        <w:tc>
          <w:tcPr>
            <w:tcW w:w="1011" w:type="dxa"/>
            <w:vMerge w:val="continue"/>
            <w:shd w:val="clear" w:color="auto" w:fill="auto"/>
            <w:noWrap w:val="0"/>
            <w:vAlign w:val="center"/>
          </w:tcPr>
          <w:p>
            <w:pPr>
              <w:spacing w:line="360" w:lineRule="auto"/>
              <w:ind w:left="0" w:leftChars="0" w:firstLine="0" w:firstLineChars="0"/>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692"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w:t>
            </w:r>
          </w:p>
        </w:tc>
        <w:tc>
          <w:tcPr>
            <w:tcW w:w="2575"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pH（无量纲）</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6.94</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6.97</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7.03</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7.05</w:t>
            </w:r>
          </w:p>
        </w:tc>
        <w:tc>
          <w:tcPr>
            <w:tcW w:w="1011"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92"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2</w:t>
            </w:r>
          </w:p>
        </w:tc>
        <w:tc>
          <w:tcPr>
            <w:tcW w:w="2575"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CODcr（mg/L）</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94</w:t>
            </w:r>
          </w:p>
        </w:tc>
        <w:tc>
          <w:tcPr>
            <w:tcW w:w="1441" w:type="dxa"/>
            <w:gridSpan w:val="2"/>
            <w:shd w:val="clear" w:color="auto" w:fill="auto"/>
            <w:noWrap w:val="0"/>
            <w:vAlign w:val="top"/>
          </w:tcPr>
          <w:p>
            <w:pPr>
              <w:spacing w:line="360" w:lineRule="auto"/>
              <w:ind w:left="0" w:leftChars="0" w:firstLine="0" w:firstLineChars="0"/>
              <w:jc w:val="center"/>
              <w:rPr>
                <w:rFonts w:hint="eastAsia"/>
                <w:bCs/>
                <w:szCs w:val="21"/>
              </w:rPr>
            </w:pPr>
            <w:r>
              <w:rPr>
                <w:rFonts w:hint="eastAsia"/>
                <w:bCs/>
                <w:szCs w:val="21"/>
              </w:rPr>
              <w:t>110</w:t>
            </w:r>
          </w:p>
        </w:tc>
        <w:tc>
          <w:tcPr>
            <w:tcW w:w="1441" w:type="dxa"/>
            <w:gridSpan w:val="2"/>
            <w:shd w:val="clear" w:color="auto" w:fill="auto"/>
            <w:noWrap w:val="0"/>
            <w:vAlign w:val="top"/>
          </w:tcPr>
          <w:p>
            <w:pPr>
              <w:spacing w:line="360" w:lineRule="auto"/>
              <w:ind w:left="0" w:leftChars="0" w:firstLine="0" w:firstLineChars="0"/>
              <w:jc w:val="center"/>
              <w:rPr>
                <w:rFonts w:hint="eastAsia"/>
                <w:bCs/>
                <w:szCs w:val="21"/>
              </w:rPr>
            </w:pPr>
            <w:r>
              <w:rPr>
                <w:rFonts w:hint="eastAsia"/>
                <w:bCs/>
                <w:szCs w:val="21"/>
              </w:rPr>
              <w:t>86</w:t>
            </w:r>
          </w:p>
        </w:tc>
        <w:tc>
          <w:tcPr>
            <w:tcW w:w="1441" w:type="dxa"/>
            <w:gridSpan w:val="2"/>
            <w:shd w:val="clear" w:color="auto" w:fill="auto"/>
            <w:noWrap w:val="0"/>
            <w:vAlign w:val="top"/>
          </w:tcPr>
          <w:p>
            <w:pPr>
              <w:spacing w:line="360" w:lineRule="auto"/>
              <w:ind w:left="0" w:leftChars="0" w:firstLine="0" w:firstLineChars="0"/>
              <w:jc w:val="center"/>
              <w:rPr>
                <w:rFonts w:hint="eastAsia"/>
                <w:bCs/>
                <w:szCs w:val="21"/>
              </w:rPr>
            </w:pPr>
            <w:r>
              <w:rPr>
                <w:rFonts w:hint="eastAsia"/>
                <w:bCs/>
                <w:szCs w:val="21"/>
              </w:rPr>
              <w:t>83</w:t>
            </w:r>
          </w:p>
        </w:tc>
        <w:tc>
          <w:tcPr>
            <w:tcW w:w="1011"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92"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3</w:t>
            </w:r>
          </w:p>
        </w:tc>
        <w:tc>
          <w:tcPr>
            <w:tcW w:w="2575"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BOD5（mg/L）</w:t>
            </w:r>
          </w:p>
        </w:tc>
        <w:tc>
          <w:tcPr>
            <w:tcW w:w="1441" w:type="dxa"/>
            <w:gridSpan w:val="2"/>
            <w:shd w:val="clear" w:color="auto" w:fill="auto"/>
            <w:noWrap w:val="0"/>
            <w:vAlign w:val="top"/>
          </w:tcPr>
          <w:p>
            <w:pPr>
              <w:spacing w:line="360" w:lineRule="auto"/>
              <w:ind w:left="0" w:leftChars="0" w:firstLine="0" w:firstLineChars="0"/>
              <w:jc w:val="center"/>
              <w:rPr>
                <w:rFonts w:hint="eastAsia"/>
                <w:bCs/>
                <w:szCs w:val="21"/>
              </w:rPr>
            </w:pPr>
            <w:r>
              <w:rPr>
                <w:rFonts w:hint="eastAsia"/>
                <w:bCs/>
                <w:szCs w:val="21"/>
              </w:rPr>
              <w:t>60.9</w:t>
            </w:r>
          </w:p>
        </w:tc>
        <w:tc>
          <w:tcPr>
            <w:tcW w:w="1441" w:type="dxa"/>
            <w:gridSpan w:val="2"/>
            <w:shd w:val="clear" w:color="auto" w:fill="auto"/>
            <w:noWrap w:val="0"/>
            <w:vAlign w:val="top"/>
          </w:tcPr>
          <w:p>
            <w:pPr>
              <w:spacing w:line="360" w:lineRule="auto"/>
              <w:ind w:left="0" w:leftChars="0" w:firstLine="0" w:firstLineChars="0"/>
              <w:jc w:val="center"/>
              <w:rPr>
                <w:rFonts w:hint="eastAsia"/>
                <w:bCs/>
                <w:szCs w:val="21"/>
              </w:rPr>
            </w:pPr>
            <w:r>
              <w:rPr>
                <w:rFonts w:hint="eastAsia"/>
                <w:bCs/>
                <w:szCs w:val="21"/>
              </w:rPr>
              <w:t>71.1</w:t>
            </w:r>
          </w:p>
        </w:tc>
        <w:tc>
          <w:tcPr>
            <w:tcW w:w="1441" w:type="dxa"/>
            <w:gridSpan w:val="2"/>
            <w:shd w:val="clear" w:color="auto" w:fill="auto"/>
            <w:noWrap w:val="0"/>
            <w:vAlign w:val="top"/>
          </w:tcPr>
          <w:p>
            <w:pPr>
              <w:spacing w:line="360" w:lineRule="auto"/>
              <w:ind w:left="0" w:leftChars="0" w:firstLine="0" w:firstLineChars="0"/>
              <w:jc w:val="center"/>
              <w:rPr>
                <w:rFonts w:hint="eastAsia"/>
                <w:bCs/>
                <w:szCs w:val="21"/>
              </w:rPr>
            </w:pPr>
            <w:r>
              <w:rPr>
                <w:rFonts w:hint="eastAsia"/>
                <w:bCs/>
                <w:szCs w:val="21"/>
              </w:rPr>
              <w:t>55.3</w:t>
            </w:r>
          </w:p>
        </w:tc>
        <w:tc>
          <w:tcPr>
            <w:tcW w:w="1441" w:type="dxa"/>
            <w:gridSpan w:val="2"/>
            <w:shd w:val="clear" w:color="auto" w:fill="auto"/>
            <w:noWrap w:val="0"/>
            <w:vAlign w:val="top"/>
          </w:tcPr>
          <w:p>
            <w:pPr>
              <w:spacing w:line="360" w:lineRule="auto"/>
              <w:ind w:left="0" w:leftChars="0" w:firstLine="0" w:firstLineChars="0"/>
              <w:jc w:val="center"/>
              <w:rPr>
                <w:rFonts w:hint="eastAsia"/>
                <w:bCs/>
                <w:szCs w:val="21"/>
              </w:rPr>
            </w:pPr>
            <w:r>
              <w:rPr>
                <w:rFonts w:hint="eastAsia"/>
                <w:bCs/>
                <w:szCs w:val="21"/>
              </w:rPr>
              <w:t>53.5</w:t>
            </w:r>
          </w:p>
        </w:tc>
        <w:tc>
          <w:tcPr>
            <w:tcW w:w="1011"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92"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4</w:t>
            </w:r>
          </w:p>
        </w:tc>
        <w:tc>
          <w:tcPr>
            <w:tcW w:w="2575"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SS（mg/L）</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48</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41</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36</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39</w:t>
            </w:r>
          </w:p>
        </w:tc>
        <w:tc>
          <w:tcPr>
            <w:tcW w:w="1011"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92"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5</w:t>
            </w:r>
          </w:p>
        </w:tc>
        <w:tc>
          <w:tcPr>
            <w:tcW w:w="2575"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氨氮（mg/L）</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9.57</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9.41</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9.70</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9.93</w:t>
            </w:r>
          </w:p>
        </w:tc>
        <w:tc>
          <w:tcPr>
            <w:tcW w:w="1011"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92"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6</w:t>
            </w:r>
          </w:p>
        </w:tc>
        <w:tc>
          <w:tcPr>
            <w:tcW w:w="2575"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动植物油（mg/L）</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1.10</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1.25</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1.24</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1.06</w:t>
            </w:r>
          </w:p>
        </w:tc>
        <w:tc>
          <w:tcPr>
            <w:tcW w:w="1011"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92" w:type="dxa"/>
            <w:vMerge w:val="restart"/>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序</w:t>
            </w:r>
          </w:p>
          <w:p>
            <w:pPr>
              <w:spacing w:line="360" w:lineRule="auto"/>
              <w:ind w:left="0" w:leftChars="0" w:firstLine="0" w:firstLineChars="0"/>
              <w:jc w:val="center"/>
              <w:rPr>
                <w:rFonts w:hint="eastAsia"/>
                <w:bCs/>
                <w:szCs w:val="21"/>
              </w:rPr>
            </w:pPr>
            <w:r>
              <w:rPr>
                <w:rFonts w:hint="eastAsia"/>
                <w:bCs/>
                <w:szCs w:val="21"/>
              </w:rPr>
              <w:t>号</w:t>
            </w:r>
          </w:p>
        </w:tc>
        <w:tc>
          <w:tcPr>
            <w:tcW w:w="2590" w:type="dxa"/>
            <w:gridSpan w:val="2"/>
            <w:vMerge w:val="restart"/>
            <w:shd w:val="clear" w:color="auto" w:fill="auto"/>
            <w:noWrap w:val="0"/>
            <w:vAlign w:val="center"/>
          </w:tcPr>
          <w:p>
            <w:pPr>
              <w:spacing w:line="360" w:lineRule="auto"/>
              <w:ind w:left="0" w:leftChars="0" w:firstLine="1200" w:firstLineChars="500"/>
              <w:jc w:val="both"/>
              <w:rPr>
                <w:rFonts w:hint="eastAsia"/>
                <w:bCs/>
                <w:szCs w:val="21"/>
              </w:rPr>
            </w:pPr>
            <w:r>
              <w:rPr>
                <w:rFonts w:hint="eastAsia"/>
                <w:bCs/>
                <w:szCs w:val="21"/>
              </w:rPr>
              <mc:AlternateContent>
                <mc:Choice Requires="wps">
                  <w:drawing>
                    <wp:anchor distT="0" distB="0" distL="114300" distR="114300" simplePos="0" relativeHeight="251853824" behindDoc="0" locked="0" layoutInCell="1" allowOverlap="1">
                      <wp:simplePos x="0" y="0"/>
                      <wp:positionH relativeFrom="column">
                        <wp:posOffset>-54610</wp:posOffset>
                      </wp:positionH>
                      <wp:positionV relativeFrom="paragraph">
                        <wp:posOffset>27940</wp:posOffset>
                      </wp:positionV>
                      <wp:extent cx="1598295" cy="889000"/>
                      <wp:effectExtent l="2540" t="4445" r="18415" b="20955"/>
                      <wp:wrapNone/>
                      <wp:docPr id="44" name="直接箭头连接符 44"/>
                      <wp:cNvGraphicFramePr/>
                      <a:graphic xmlns:a="http://schemas.openxmlformats.org/drawingml/2006/main">
                        <a:graphicData uri="http://schemas.microsoft.com/office/word/2010/wordprocessingShape">
                          <wps:wsp>
                            <wps:cNvCnPr/>
                            <wps:spPr>
                              <a:xfrm>
                                <a:off x="0" y="0"/>
                                <a:ext cx="1598295" cy="8890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3pt;margin-top:2.2pt;height:70pt;width:125.85pt;z-index:251853824;mso-width-relative:page;mso-height-relative:page;" filled="f" stroked="t" coordsize="21600,21600" o:gfxdata="UEsDBAoAAAAAAIdO4kAAAAAAAAAAAAAAAAAEAAAAZHJzL1BLAwQUAAAACACHTuJAPUAaqtcAAAAI&#10;AQAADwAAAGRycy9kb3ducmV2LnhtbE2PwU7DMAyG70h7h8iTuKAtaSnTKE2nCYkDR7ZJXLPGtGWN&#10;UzXpOvb0mBM72v+n35+LzcV14oxDaD1pSJYKBFLlbUu1hsP+bbEGEaIhazpPqOEHA2zK2V1hcusn&#10;+sDzLtaCSyjkRkMTY59LGaoGnQlL3yNx9uUHZyKPQy3tYCYud51MlVpJZ1riC43p8bXB6rQbnQYM&#10;41Oits+uPrxfp4fP9Po99Xut7+eJegER8RL/YfjTZ3Uo2enoR7JBdBoW6xWTGrIMBMdp9piAODKX&#10;8UaWhbx9oPwFUEsDBBQAAAAIAIdO4kBNOEPT6QEAAKUDAAAOAAAAZHJzL2Uyb0RvYy54bWytU0uO&#10;EzEQ3SNxB8t70p1ogpJWOrNIGDYIIgEHqPjTbck/2SadXIILILECVsBq9nMaGI5B2QkZPhuE6IW7&#10;7Kp6Ve+5vLjcG012IkTlbEvHo5oSYZnjynYtffni6sGMkpjActDOipYeRKSXy/v3FoNvxMT1TnMR&#10;CILY2Ay+pX1KvqmqyHphII6cFxad0gUDCbehq3iAAdGNriZ1/bAaXOA+OCZixNP10UmXBV9KwdIz&#10;KaNIRLcUe0tlDWXd5rVaLqDpAvhesVMb8A9dGFAWi56h1pCAvArqDyijWHDRyTRizlROSsVE4YBs&#10;xvVvbJ734EXhguJEf5Yp/j9Y9nS3CUTxll5cUGLB4B3dvrn++vr97edPX95df7t5m+2PHwj6UazB&#10;xwZzVnYTTrvoNyEz38tg8h85kX0R+HAWWOwTYXg4ns5nk/mUEoa+2Wxe1+UGqrtsH2J6LJwh2Whp&#10;TAFU16eVsxbv0oVxURl2T2LC+pj4IyGX1pYMLZ1PJ7kC4DRJDQlN45FftF3JjU4rfqW0zhkxdNuV&#10;DmQHeT7Kl1ki7i9hucgaYn+MK67j5PQC+CPLSTp4FM7iiNPcghGcEi3wRWQLAaFJoPTfRGJpbbGD&#10;LPRR2mxtHT8Uxcs5zkLp8TS3edh+3pfsu9e1/A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9QBqq&#10;1wAAAAgBAAAPAAAAAAAAAAEAIAAAACIAAABkcnMvZG93bnJldi54bWxQSwECFAAUAAAACACHTuJA&#10;TThD0+kBAAClAwAADgAAAAAAAAABACAAAAAmAQAAZHJzL2Uyb0RvYy54bWxQSwUGAAAAAAYABgBZ&#10;AQAAgQUAAAAA&#10;">
                      <v:fill on="f" focussize="0,0"/>
                      <v:stroke color="#000000" joinstyle="round"/>
                      <v:imagedata o:title=""/>
                      <o:lock v:ext="edit" aspectratio="f"/>
                    </v:shape>
                  </w:pict>
                </mc:Fallback>
              </mc:AlternateContent>
            </w:r>
            <w:r>
              <w:rPr>
                <w:rFonts w:hint="eastAsia"/>
                <w:bCs/>
                <w:szCs w:val="21"/>
              </w:rPr>
              <w:t>检测点位、</w:t>
            </w:r>
          </w:p>
          <w:p>
            <w:pPr>
              <w:spacing w:line="360" w:lineRule="auto"/>
              <w:ind w:left="0" w:leftChars="0" w:firstLine="0" w:firstLineChars="0"/>
              <w:jc w:val="both"/>
              <w:rPr>
                <w:rFonts w:hint="eastAsia"/>
                <w:bCs/>
                <w:szCs w:val="21"/>
              </w:rPr>
            </w:pPr>
            <w:r>
              <w:rPr>
                <w:rFonts w:hint="eastAsia"/>
                <w:bCs/>
                <w:szCs w:val="21"/>
              </w:rPr>
              <w:t>时间</w:t>
            </w:r>
            <w:r>
              <w:rPr>
                <w:bCs/>
                <w:szCs w:val="21"/>
              </w:rPr>
              <w:t xml:space="preserve">     </w:t>
            </w:r>
            <w:r>
              <w:rPr>
                <w:rFonts w:hint="eastAsia"/>
                <w:bCs/>
                <w:szCs w:val="21"/>
                <w:lang w:val="en-US" w:eastAsia="zh-CN"/>
              </w:rPr>
              <w:t xml:space="preserve">  </w:t>
            </w:r>
            <w:r>
              <w:rPr>
                <w:rFonts w:hint="eastAsia"/>
                <w:bCs/>
                <w:szCs w:val="21"/>
              </w:rPr>
              <w:t xml:space="preserve">分析项目 </w:t>
            </w:r>
          </w:p>
        </w:tc>
        <w:tc>
          <w:tcPr>
            <w:tcW w:w="5749" w:type="dxa"/>
            <w:gridSpan w:val="7"/>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污水总排放口</w:t>
            </w:r>
          </w:p>
        </w:tc>
        <w:tc>
          <w:tcPr>
            <w:tcW w:w="1011" w:type="dxa"/>
            <w:vMerge w:val="restart"/>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标准</w:t>
            </w:r>
          </w:p>
          <w:p>
            <w:pPr>
              <w:spacing w:line="360" w:lineRule="auto"/>
              <w:ind w:left="0" w:leftChars="0" w:firstLine="0" w:firstLineChars="0"/>
              <w:jc w:val="center"/>
              <w:rPr>
                <w:rFonts w:hint="eastAsia"/>
                <w:bCs/>
                <w:szCs w:val="21"/>
              </w:rPr>
            </w:pPr>
            <w:r>
              <w:rPr>
                <w:rFonts w:hint="eastAsia"/>
                <w:bCs/>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92" w:type="dxa"/>
            <w:vMerge w:val="continue"/>
            <w:shd w:val="clear" w:color="auto" w:fill="auto"/>
            <w:noWrap w:val="0"/>
            <w:vAlign w:val="center"/>
          </w:tcPr>
          <w:p>
            <w:pPr>
              <w:spacing w:line="360" w:lineRule="auto"/>
              <w:ind w:left="0" w:leftChars="0" w:firstLine="0" w:firstLineChars="0"/>
              <w:jc w:val="center"/>
              <w:rPr>
                <w:rFonts w:hint="eastAsia"/>
                <w:bCs/>
                <w:szCs w:val="21"/>
              </w:rPr>
            </w:pPr>
          </w:p>
        </w:tc>
        <w:tc>
          <w:tcPr>
            <w:tcW w:w="2590" w:type="dxa"/>
            <w:gridSpan w:val="2"/>
            <w:vMerge w:val="continue"/>
            <w:shd w:val="clear" w:color="auto" w:fill="auto"/>
            <w:noWrap w:val="0"/>
            <w:vAlign w:val="center"/>
          </w:tcPr>
          <w:p>
            <w:pPr>
              <w:spacing w:line="360" w:lineRule="auto"/>
              <w:ind w:left="0" w:leftChars="0" w:firstLine="0" w:firstLineChars="0"/>
              <w:jc w:val="center"/>
              <w:rPr>
                <w:rFonts w:hint="eastAsia"/>
                <w:bCs/>
                <w:szCs w:val="21"/>
              </w:rPr>
            </w:pPr>
          </w:p>
        </w:tc>
        <w:tc>
          <w:tcPr>
            <w:tcW w:w="5749" w:type="dxa"/>
            <w:gridSpan w:val="7"/>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6月19日</w:t>
            </w:r>
          </w:p>
        </w:tc>
        <w:tc>
          <w:tcPr>
            <w:tcW w:w="1011" w:type="dxa"/>
            <w:vMerge w:val="continue"/>
            <w:shd w:val="clear" w:color="auto" w:fill="auto"/>
            <w:noWrap w:val="0"/>
            <w:vAlign w:val="center"/>
          </w:tcPr>
          <w:p>
            <w:pPr>
              <w:spacing w:line="360" w:lineRule="auto"/>
              <w:ind w:left="0" w:leftChars="0" w:firstLine="0" w:firstLineChars="0"/>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92" w:type="dxa"/>
            <w:vMerge w:val="continue"/>
            <w:shd w:val="clear" w:color="auto" w:fill="auto"/>
            <w:noWrap w:val="0"/>
            <w:vAlign w:val="center"/>
          </w:tcPr>
          <w:p>
            <w:pPr>
              <w:spacing w:line="360" w:lineRule="auto"/>
              <w:ind w:left="0" w:leftChars="0" w:firstLine="0" w:firstLineChars="0"/>
              <w:jc w:val="center"/>
              <w:rPr>
                <w:rFonts w:hint="eastAsia"/>
                <w:bCs/>
                <w:szCs w:val="21"/>
              </w:rPr>
            </w:pPr>
          </w:p>
        </w:tc>
        <w:tc>
          <w:tcPr>
            <w:tcW w:w="2590" w:type="dxa"/>
            <w:gridSpan w:val="2"/>
            <w:vMerge w:val="continue"/>
            <w:shd w:val="clear" w:color="auto" w:fill="auto"/>
            <w:noWrap w:val="0"/>
            <w:vAlign w:val="center"/>
          </w:tcPr>
          <w:p>
            <w:pPr>
              <w:spacing w:line="360" w:lineRule="auto"/>
              <w:ind w:left="0" w:leftChars="0" w:firstLine="0" w:firstLineChars="0"/>
              <w:jc w:val="center"/>
              <w:rPr>
                <w:rFonts w:hint="eastAsia"/>
                <w:bCs/>
                <w:szCs w:val="21"/>
              </w:rPr>
            </w:pP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9:30</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11:30</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13:30</w:t>
            </w:r>
          </w:p>
        </w:tc>
        <w:tc>
          <w:tcPr>
            <w:tcW w:w="1426"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15:30</w:t>
            </w:r>
          </w:p>
        </w:tc>
        <w:tc>
          <w:tcPr>
            <w:tcW w:w="1011" w:type="dxa"/>
            <w:vMerge w:val="continue"/>
            <w:shd w:val="clear" w:color="auto" w:fill="auto"/>
            <w:noWrap w:val="0"/>
            <w:vAlign w:val="center"/>
          </w:tcPr>
          <w:p>
            <w:pPr>
              <w:spacing w:line="360" w:lineRule="auto"/>
              <w:ind w:left="0" w:leftChars="0" w:firstLine="0" w:firstLineChars="0"/>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692"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w:t>
            </w:r>
          </w:p>
        </w:tc>
        <w:tc>
          <w:tcPr>
            <w:tcW w:w="2590"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pH（无量纲）</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6.82</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6.76</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6.80</w:t>
            </w:r>
          </w:p>
        </w:tc>
        <w:tc>
          <w:tcPr>
            <w:tcW w:w="1426"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6.78</w:t>
            </w:r>
          </w:p>
        </w:tc>
        <w:tc>
          <w:tcPr>
            <w:tcW w:w="1011"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692"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2</w:t>
            </w:r>
          </w:p>
        </w:tc>
        <w:tc>
          <w:tcPr>
            <w:tcW w:w="2590"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CODcr（mg/L）</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91</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90</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87</w:t>
            </w:r>
          </w:p>
        </w:tc>
        <w:tc>
          <w:tcPr>
            <w:tcW w:w="1426"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99</w:t>
            </w:r>
          </w:p>
        </w:tc>
        <w:tc>
          <w:tcPr>
            <w:tcW w:w="1011"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692"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3</w:t>
            </w:r>
          </w:p>
        </w:tc>
        <w:tc>
          <w:tcPr>
            <w:tcW w:w="2590"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BOD5（mg/L）</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58.5</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57.8</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55.4</w:t>
            </w:r>
          </w:p>
        </w:tc>
        <w:tc>
          <w:tcPr>
            <w:tcW w:w="1426"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62.6</w:t>
            </w:r>
          </w:p>
        </w:tc>
        <w:tc>
          <w:tcPr>
            <w:tcW w:w="1011"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692"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4</w:t>
            </w:r>
          </w:p>
        </w:tc>
        <w:tc>
          <w:tcPr>
            <w:tcW w:w="2590"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SS（mg/L）</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55</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52</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44</w:t>
            </w:r>
          </w:p>
        </w:tc>
        <w:tc>
          <w:tcPr>
            <w:tcW w:w="1426"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44</w:t>
            </w:r>
          </w:p>
        </w:tc>
        <w:tc>
          <w:tcPr>
            <w:tcW w:w="1011"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692"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5</w:t>
            </w:r>
          </w:p>
        </w:tc>
        <w:tc>
          <w:tcPr>
            <w:tcW w:w="2590"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氨氮（mg/L）</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8.51</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8.14</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11.4</w:t>
            </w:r>
          </w:p>
        </w:tc>
        <w:tc>
          <w:tcPr>
            <w:tcW w:w="1426"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11.2</w:t>
            </w:r>
          </w:p>
        </w:tc>
        <w:tc>
          <w:tcPr>
            <w:tcW w:w="1011"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692"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6</w:t>
            </w:r>
          </w:p>
        </w:tc>
        <w:tc>
          <w:tcPr>
            <w:tcW w:w="2590"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动植物油（mg/L）</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1.69</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1.61</w:t>
            </w:r>
          </w:p>
        </w:tc>
        <w:tc>
          <w:tcPr>
            <w:tcW w:w="1441" w:type="dxa"/>
            <w:gridSpan w:val="2"/>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1.66</w:t>
            </w:r>
          </w:p>
        </w:tc>
        <w:tc>
          <w:tcPr>
            <w:tcW w:w="1426"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1.71</w:t>
            </w:r>
          </w:p>
        </w:tc>
        <w:tc>
          <w:tcPr>
            <w:tcW w:w="1011" w:type="dxa"/>
            <w:shd w:val="clear" w:color="auto" w:fill="auto"/>
            <w:noWrap w:val="0"/>
            <w:vAlign w:val="center"/>
          </w:tcPr>
          <w:p>
            <w:pPr>
              <w:spacing w:line="360" w:lineRule="auto"/>
              <w:ind w:left="0" w:leftChars="0" w:firstLine="0" w:firstLineChars="0"/>
              <w:jc w:val="center"/>
              <w:rPr>
                <w:rFonts w:hint="eastAsia"/>
                <w:bCs/>
                <w:szCs w:val="21"/>
              </w:rPr>
            </w:pPr>
            <w:r>
              <w:rPr>
                <w:rFonts w:hint="eastAsia"/>
                <w:bCs/>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exact"/>
          <w:jc w:val="center"/>
        </w:trPr>
        <w:tc>
          <w:tcPr>
            <w:tcW w:w="10042" w:type="dxa"/>
            <w:gridSpan w:val="11"/>
            <w:shd w:val="clear" w:color="auto" w:fill="auto"/>
            <w:noWrap w:val="0"/>
            <w:vAlign w:val="center"/>
          </w:tcPr>
          <w:p>
            <w:pPr>
              <w:spacing w:line="360" w:lineRule="auto"/>
              <w:ind w:left="0" w:leftChars="0" w:firstLine="0" w:firstLineChars="0"/>
              <w:jc w:val="both"/>
              <w:rPr>
                <w:rFonts w:hint="eastAsia"/>
                <w:bCs/>
                <w:szCs w:val="21"/>
              </w:rPr>
            </w:pPr>
            <w:r>
              <w:rPr>
                <w:rFonts w:hint="eastAsia"/>
                <w:bCs/>
                <w:szCs w:val="21"/>
              </w:rPr>
              <w:t>说明：无</w:t>
            </w:r>
          </w:p>
        </w:tc>
      </w:tr>
    </w:tbl>
    <w:p>
      <w:pPr>
        <w:pStyle w:val="2"/>
        <w:jc w:val="center"/>
        <w:rPr>
          <w:rFonts w:hint="default" w:ascii="Times New Roman" w:hAnsi="Times New Roman" w:cs="Times New Roman" w:eastAsiaTheme="minorEastAsia"/>
          <w:lang w:val="en-US" w:eastAsia="zh-CN"/>
        </w:rPr>
      </w:pPr>
    </w:p>
    <w:p>
      <w:pPr>
        <w:pStyle w:val="2"/>
        <w:jc w:val="center"/>
        <w:rPr>
          <w:rFonts w:hint="default" w:ascii="Times New Roman" w:hAnsi="Times New Roman" w:cs="Times New Roman" w:eastAsiaTheme="minorEastAsia"/>
          <w:lang w:val="en-US" w:eastAsia="zh-CN"/>
        </w:rPr>
      </w:pPr>
    </w:p>
    <w:p>
      <w:pPr>
        <w:pStyle w:val="2"/>
        <w:jc w:val="center"/>
        <w:rPr>
          <w:rFonts w:hint="default" w:ascii="Times New Roman" w:hAnsi="Times New Roman" w:cs="Times New Roman" w:eastAsiaTheme="minorEastAsia"/>
          <w:lang w:val="en-US" w:eastAsia="zh-CN"/>
        </w:rPr>
        <w:sectPr>
          <w:pgSz w:w="11906" w:h="16838"/>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pPr>
      <w:bookmarkStart w:id="236" w:name="_Toc7868"/>
      <w:bookmarkStart w:id="237" w:name="_Toc20975_WPSOffice_Level1"/>
      <w:bookmarkStart w:id="238" w:name="_Toc12291"/>
      <w:bookmarkStart w:id="239" w:name="_Toc29685"/>
      <w:bookmarkStart w:id="240" w:name="_Toc17093"/>
      <w:bookmarkStart w:id="241" w:name="_Toc4619"/>
      <w:bookmarkStart w:id="242" w:name="_Toc4045"/>
      <w:bookmarkStart w:id="243" w:name="_Toc9760_WPSOffice_Level1"/>
      <w:bookmarkStart w:id="244" w:name="_Toc27731"/>
      <w:bookmarkStart w:id="245" w:name="_Toc13763"/>
      <w:bookmarkStart w:id="246" w:name="_Toc7432_WPSOffice_Level1"/>
      <w:bookmarkStart w:id="247" w:name="_Toc13827"/>
      <w:r>
        <w:rPr>
          <w:rFonts w:hint="eastAsia"/>
          <w:lang w:val="en-US" w:eastAsia="zh-CN"/>
        </w:rPr>
        <w:t>10</w:t>
      </w:r>
      <w:r>
        <w:t>.</w:t>
      </w:r>
      <w:r>
        <w:rPr>
          <w:rFonts w:hint="eastAsia"/>
        </w:rPr>
        <w:t>2废气</w:t>
      </w:r>
      <w:r>
        <w:t>监测</w:t>
      </w:r>
      <w:bookmarkEnd w:id="236"/>
      <w:bookmarkEnd w:id="237"/>
      <w:bookmarkEnd w:id="238"/>
      <w:bookmarkEnd w:id="239"/>
      <w:bookmarkEnd w:id="240"/>
      <w:bookmarkEnd w:id="241"/>
      <w:bookmarkEnd w:id="242"/>
      <w:bookmarkEnd w:id="243"/>
      <w:bookmarkEnd w:id="244"/>
      <w:bookmarkEnd w:id="245"/>
      <w:bookmarkEnd w:id="246"/>
      <w:bookmarkEnd w:id="247"/>
    </w:p>
    <w:p>
      <w:pPr>
        <w:ind w:left="0" w:leftChars="0" w:firstLine="0" w:firstLineChars="0"/>
        <w:rPr>
          <w:rFonts w:hint="default"/>
        </w:rPr>
      </w:pPr>
      <w:r>
        <w:rPr>
          <w:rFonts w:hint="default"/>
        </w:rPr>
        <w:t>项目</w:t>
      </w:r>
      <w:r>
        <w:rPr>
          <w:rFonts w:hint="eastAsia"/>
          <w:lang w:eastAsia="zh-CN"/>
        </w:rPr>
        <w:t>废气处理设施</w:t>
      </w:r>
      <w:r>
        <w:rPr>
          <w:rFonts w:hint="default"/>
        </w:rPr>
        <w:t>排放口监测结果见表</w:t>
      </w:r>
      <w:r>
        <w:rPr>
          <w:rFonts w:hint="eastAsia"/>
          <w:lang w:val="en-US" w:eastAsia="zh-CN"/>
        </w:rPr>
        <w:t>10.2-1</w:t>
      </w:r>
      <w:r>
        <w:rPr>
          <w:rFonts w:hint="eastAsia"/>
          <w:lang w:eastAsia="zh-CN"/>
        </w:rPr>
        <w:t>—</w:t>
      </w:r>
      <w:r>
        <w:rPr>
          <w:rFonts w:hint="eastAsia"/>
          <w:lang w:val="en-US" w:eastAsia="zh-CN"/>
        </w:rPr>
        <w:t>表10.2-5</w:t>
      </w:r>
      <w:r>
        <w:rPr>
          <w:rFonts w:hint="default"/>
        </w:rPr>
        <w:t>：</w:t>
      </w:r>
    </w:p>
    <w:p>
      <w:pPr>
        <w:pStyle w:val="2"/>
        <w:spacing w:line="360" w:lineRule="auto"/>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rPr>
        <w:t>表</w:t>
      </w:r>
      <w:r>
        <w:rPr>
          <w:rFonts w:hint="eastAsia" w:eastAsia="黑体" w:cs="黑体"/>
          <w:b w:val="0"/>
          <w:bCs w:val="0"/>
          <w:sz w:val="24"/>
          <w:szCs w:val="24"/>
          <w:lang w:val="en-US" w:eastAsia="zh-CN"/>
        </w:rPr>
        <w:t>10</w:t>
      </w:r>
      <w:r>
        <w:rPr>
          <w:rFonts w:hint="eastAsia" w:ascii="黑体" w:hAnsi="黑体" w:eastAsia="黑体" w:cs="黑体"/>
          <w:b w:val="0"/>
          <w:bCs w:val="0"/>
          <w:sz w:val="24"/>
          <w:szCs w:val="24"/>
        </w:rPr>
        <w:t>.2-1</w:t>
      </w:r>
      <w:r>
        <w:rPr>
          <w:rFonts w:hint="eastAsia" w:ascii="黑体" w:hAnsi="黑体" w:eastAsia="黑体" w:cs="黑体"/>
          <w:b w:val="0"/>
          <w:bCs w:val="0"/>
          <w:sz w:val="24"/>
          <w:szCs w:val="24"/>
          <w:lang w:val="en-US" w:eastAsia="zh-CN"/>
        </w:rPr>
        <w:t xml:space="preserve"> </w:t>
      </w:r>
      <w:r>
        <w:rPr>
          <w:rFonts w:hint="eastAsia" w:eastAsia="黑体" w:cs="黑体"/>
          <w:b w:val="0"/>
          <w:bCs w:val="0"/>
          <w:sz w:val="24"/>
          <w:szCs w:val="24"/>
          <w:lang w:val="en-US" w:eastAsia="zh-CN"/>
        </w:rPr>
        <w:t>厨房油烟排放口检测</w:t>
      </w:r>
      <w:r>
        <w:rPr>
          <w:rFonts w:hint="eastAsia" w:ascii="黑体" w:hAnsi="黑体" w:eastAsia="黑体" w:cs="黑体"/>
          <w:b w:val="0"/>
          <w:bCs w:val="0"/>
          <w:sz w:val="24"/>
          <w:szCs w:val="24"/>
          <w:lang w:val="en-US" w:eastAsia="zh-CN"/>
        </w:rPr>
        <w:t>结果</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735"/>
        <w:gridCol w:w="2055"/>
        <w:gridCol w:w="1485"/>
        <w:gridCol w:w="1245"/>
        <w:gridCol w:w="1605"/>
        <w:gridCol w:w="1199"/>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9962" w:type="dxa"/>
            <w:gridSpan w:val="8"/>
            <w:shd w:val="clear" w:color="auto" w:fill="auto"/>
            <w:noWrap w:val="0"/>
            <w:vAlign w:val="top"/>
          </w:tcPr>
          <w:p>
            <w:pPr>
              <w:spacing w:line="276" w:lineRule="auto"/>
              <w:ind w:left="0" w:leftChars="0" w:firstLine="0" w:firstLineChars="0"/>
              <w:rPr>
                <w:rFonts w:hint="eastAsia"/>
                <w:bCs/>
                <w:szCs w:val="21"/>
              </w:rPr>
            </w:pPr>
            <w:r>
              <w:rPr>
                <w:rFonts w:hint="eastAsia"/>
                <w:b/>
                <w:szCs w:val="21"/>
              </w:rPr>
              <w:t>执行标准：</w:t>
            </w:r>
            <w:bookmarkStart w:id="248" w:name="_Hlk44747165"/>
            <w:bookmarkStart w:id="249" w:name="_Hlk18596620"/>
            <w:r>
              <w:rPr>
                <w:rFonts w:hint="eastAsia"/>
                <w:szCs w:val="21"/>
              </w:rPr>
              <w:t>《饮食业油烟排放标准》（试行）（</w:t>
            </w:r>
            <w:r>
              <w:rPr>
                <w:szCs w:val="21"/>
              </w:rPr>
              <w:t>GB</w:t>
            </w:r>
            <w:r>
              <w:rPr>
                <w:rFonts w:hint="eastAsia"/>
                <w:szCs w:val="21"/>
              </w:rPr>
              <w:t xml:space="preserve"> </w:t>
            </w:r>
            <w:r>
              <w:rPr>
                <w:szCs w:val="21"/>
              </w:rPr>
              <w:t>18483</w:t>
            </w:r>
            <w:r>
              <w:rPr>
                <w:rFonts w:hint="eastAsia"/>
                <w:szCs w:val="21"/>
              </w:rPr>
              <w:t>-20</w:t>
            </w:r>
            <w:r>
              <w:rPr>
                <w:szCs w:val="21"/>
              </w:rPr>
              <w:t>01</w:t>
            </w:r>
            <w:r>
              <w:rPr>
                <w:rFonts w:hint="eastAsia"/>
                <w:szCs w:val="21"/>
              </w:rPr>
              <w:t>）中表2中型规模列出的油烟最高允许排放浓度及净化设施最低去除效率。</w:t>
            </w:r>
            <w:bookmarkEnd w:id="248"/>
            <w:bookmarkEnd w:id="2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9962" w:type="dxa"/>
            <w:gridSpan w:val="8"/>
            <w:shd w:val="clear" w:color="auto" w:fill="auto"/>
            <w:noWrap w:val="0"/>
            <w:vAlign w:val="top"/>
          </w:tcPr>
          <w:p>
            <w:pPr>
              <w:spacing w:line="276" w:lineRule="auto"/>
              <w:jc w:val="center"/>
              <w:rPr>
                <w:rFonts w:hint="eastAsia"/>
                <w:bCs/>
                <w:szCs w:val="21"/>
              </w:rPr>
            </w:pPr>
            <w:r>
              <w:rPr>
                <w:rFonts w:hint="eastAsia"/>
                <w:bCs/>
                <w:szCs w:val="21"/>
              </w:rPr>
              <w:t>饮食业油烟检测结果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02"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序号</w:t>
            </w:r>
          </w:p>
        </w:tc>
        <w:tc>
          <w:tcPr>
            <w:tcW w:w="2790" w:type="dxa"/>
            <w:gridSpan w:val="2"/>
            <w:shd w:val="clear" w:color="auto" w:fill="auto"/>
            <w:noWrap w:val="0"/>
            <w:vAlign w:val="center"/>
          </w:tcPr>
          <w:p>
            <w:pPr>
              <w:spacing w:line="276" w:lineRule="auto"/>
              <w:ind w:left="0" w:leftChars="0" w:firstLine="0" w:firstLineChars="0"/>
              <w:jc w:val="center"/>
              <w:rPr>
                <w:rFonts w:hint="eastAsia"/>
                <w:bCs/>
                <w:color w:val="auto"/>
              </w:rPr>
            </w:pPr>
            <w:r>
              <w:rPr>
                <w:rFonts w:hint="eastAsia"/>
                <w:bCs/>
                <w:szCs w:val="21"/>
              </w:rPr>
              <mc:AlternateContent>
                <mc:Choice Requires="wps">
                  <w:drawing>
                    <wp:anchor distT="0" distB="0" distL="114300" distR="114300" simplePos="0" relativeHeight="258104320" behindDoc="0" locked="0" layoutInCell="1" allowOverlap="1">
                      <wp:simplePos x="0" y="0"/>
                      <wp:positionH relativeFrom="column">
                        <wp:posOffset>-26035</wp:posOffset>
                      </wp:positionH>
                      <wp:positionV relativeFrom="paragraph">
                        <wp:posOffset>33655</wp:posOffset>
                      </wp:positionV>
                      <wp:extent cx="1729105" cy="408305"/>
                      <wp:effectExtent l="1270" t="4445" r="3175" b="6350"/>
                      <wp:wrapNone/>
                      <wp:docPr id="18" name="直接箭头连接符 18"/>
                      <wp:cNvGraphicFramePr/>
                      <a:graphic xmlns:a="http://schemas.openxmlformats.org/drawingml/2006/main">
                        <a:graphicData uri="http://schemas.microsoft.com/office/word/2010/wordprocessingShape">
                          <wps:wsp>
                            <wps:cNvCnPr/>
                            <wps:spPr>
                              <a:xfrm>
                                <a:off x="0" y="0"/>
                                <a:ext cx="1729105" cy="40830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05pt;margin-top:2.65pt;height:32.15pt;width:136.15pt;z-index:258104320;mso-width-relative:page;mso-height-relative:page;" filled="f" stroked="t" coordsize="21600,21600" o:gfxdata="UEsDBAoAAAAAAIdO4kAAAAAAAAAAAAAAAAAEAAAAZHJzL1BLAwQUAAAACACHTuJA8GAj0tYAAAAH&#10;AQAADwAAAGRycy9kb3ducmV2LnhtbE2OwU7DMBBE70j9B2srcUGtnUCjNs2mQkgcONJW4urG2yQQ&#10;r6PYaUq/HnOC42hGb16xu9pOXGjwrWOEZKlAEFfOtFwjHA+vizUIHzQb3TkmhG/ysCtnd4XOjZv4&#10;nS77UIsIYZ9rhCaEPpfSVw1Z7ZeuJ47d2Q1WhxiHWppBTxFuO5kqlUmrW44Pje7ppaHqaz9aBPLj&#10;KlHPG1sf327Tw0d6+5z6A+L9PFFbEIGu4W8Mv/pRHcrodHIjGy86hMVTEpcIq0cQsU6zdQrihJBt&#10;MpBlIf/7lz9QSwMEFAAAAAgAh07iQG7G50rmAQAApQMAAA4AAABkcnMvZTJvRG9jLnhtbK1TS44T&#10;MRDdI3EHy3vSncDATCudWSQMGwQjAQeo2O5uS/7JZdLJJbgAEitgBaxmz2lgOAZlJ2T4bBCiF9Vl&#10;V736vCrPz7fWsI2KqL1r+XRSc6ac8FK7vuUvnl/cOeUMEzgJxjvV8p1Cfr64fWs+hkbN/OCNVJFR&#10;EIfNGFo+pBSaqkIxKAs48UE5MnY+Wkh0jH0lI4wU3ZpqVtf3q9FHGaIXCpFuV3sjX5T4XadEetp1&#10;qBIzLafaUpGxyHWW1WIOTR8hDFocyoB/qMKCdpT0GGoFCdjLqP8IZbWIHn2XJsLbynedFqr0QN1M&#10;69+6eTZAUKUXIgfDkSb8f2HFk81lZFrS7GhSDizN6Pr11ddX764/ffzy9urb5zdZ//CekZ3IGgM2&#10;hFm6y3g4YbiMufNtF23+U09sWwjeHQlW28QEXU4fzM6m9Qlngmz36tO7pFOY6gYdIqZHyluWlZZj&#10;iqD7IS29czRLH6eFZdg8xrQH/gDk1MaxseVnJ7OcAWibOgOJVBuoP3R9waI3Wl5oYzICY79emsg2&#10;kPejfIeCfnHLSVaAw96vmLIbNIMC+dBJlnaBiHO04jyXYJXkzCh6EVkrngm0+RtP4sI4oiQTvac2&#10;a2svd4Xxck+7UEg77G1etp/PBX3zuhb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BgI9LWAAAA&#10;BwEAAA8AAAAAAAAAAQAgAAAAIgAAAGRycy9kb3ducmV2LnhtbFBLAQIUABQAAAAIAIdO4kBuxudK&#10;5gEAAKUDAAAOAAAAAAAAAAEAIAAAACUBAABkcnMvZTJvRG9jLnhtbFBLBQYAAAAABgAGAFkBAAB9&#10;BQAAAAA=&#10;">
                      <v:fill on="f" focussize="0,0"/>
                      <v:stroke color="#000000" joinstyle="round"/>
                      <v:imagedata o:title=""/>
                      <o:lock v:ext="edit" aspectratio="f"/>
                    </v:shape>
                  </w:pict>
                </mc:Fallback>
              </mc:AlternateContent>
            </w:r>
            <w:r>
              <w:rPr>
                <w:rFonts w:hint="eastAsia"/>
                <w:bCs/>
                <w:color w:val="auto"/>
              </w:rPr>
              <w:t xml:space="preserve"> </w:t>
            </w:r>
            <w:r>
              <w:rPr>
                <w:rFonts w:hint="eastAsia"/>
                <w:bCs/>
                <w:color w:val="auto"/>
                <w:lang w:val="en-US" w:eastAsia="zh-CN"/>
              </w:rPr>
              <w:t xml:space="preserve">            </w:t>
            </w:r>
            <w:r>
              <w:rPr>
                <w:rFonts w:hint="eastAsia"/>
                <w:bCs/>
                <w:color w:val="auto"/>
              </w:rPr>
              <w:t>检测项目</w:t>
            </w:r>
          </w:p>
          <w:p>
            <w:pPr>
              <w:spacing w:line="276" w:lineRule="auto"/>
              <w:ind w:left="0" w:leftChars="0" w:firstLine="0" w:firstLineChars="0"/>
              <w:jc w:val="both"/>
              <w:rPr>
                <w:rFonts w:hint="eastAsia"/>
                <w:bCs/>
                <w:color w:val="auto"/>
              </w:rPr>
            </w:pPr>
            <w:r>
              <w:rPr>
                <w:rFonts w:hint="eastAsia"/>
                <w:bCs/>
                <w:color w:val="auto"/>
              </w:rPr>
              <w:t>检测时间、点位</w:t>
            </w:r>
          </w:p>
        </w:tc>
        <w:tc>
          <w:tcPr>
            <w:tcW w:w="1485"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油烟排放浓度mg/m</w:t>
            </w:r>
            <w:r>
              <w:rPr>
                <w:rFonts w:hint="eastAsia"/>
                <w:bCs/>
                <w:color w:val="auto"/>
                <w:vertAlign w:val="superscript"/>
              </w:rPr>
              <w:t>3</w:t>
            </w:r>
          </w:p>
        </w:tc>
        <w:tc>
          <w:tcPr>
            <w:tcW w:w="1245"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排放限值mg/m</w:t>
            </w:r>
            <w:r>
              <w:rPr>
                <w:rFonts w:hint="eastAsia"/>
                <w:bCs/>
                <w:color w:val="auto"/>
                <w:vertAlign w:val="superscript"/>
              </w:rPr>
              <w:t>3</w:t>
            </w:r>
          </w:p>
        </w:tc>
        <w:tc>
          <w:tcPr>
            <w:tcW w:w="1605"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排风量</w:t>
            </w:r>
          </w:p>
          <w:p>
            <w:pPr>
              <w:spacing w:line="276" w:lineRule="auto"/>
              <w:ind w:left="0" w:leftChars="0" w:firstLine="0" w:firstLineChars="0"/>
              <w:jc w:val="center"/>
              <w:rPr>
                <w:rFonts w:hint="eastAsia"/>
                <w:bCs/>
                <w:color w:val="auto"/>
              </w:rPr>
            </w:pPr>
            <w:r>
              <w:rPr>
                <w:rFonts w:hint="eastAsia"/>
                <w:bCs/>
                <w:color w:val="auto"/>
              </w:rPr>
              <w:t>m</w:t>
            </w:r>
            <w:r>
              <w:rPr>
                <w:rFonts w:hint="eastAsia"/>
                <w:bCs/>
                <w:color w:val="auto"/>
                <w:vertAlign w:val="superscript"/>
              </w:rPr>
              <w:t>3</w:t>
            </w:r>
            <w:r>
              <w:rPr>
                <w:rFonts w:hint="eastAsia"/>
                <w:bCs/>
                <w:color w:val="auto"/>
              </w:rPr>
              <w:t>/h</w:t>
            </w:r>
          </w:p>
        </w:tc>
        <w:tc>
          <w:tcPr>
            <w:tcW w:w="1199"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去除效率</w:t>
            </w:r>
          </w:p>
          <w:p>
            <w:pPr>
              <w:spacing w:line="276" w:lineRule="auto"/>
              <w:ind w:left="0" w:leftChars="0" w:firstLine="0" w:firstLineChars="0"/>
              <w:jc w:val="center"/>
              <w:rPr>
                <w:rFonts w:hint="eastAsia"/>
                <w:bCs/>
                <w:color w:val="auto"/>
              </w:rPr>
            </w:pPr>
            <w:r>
              <w:rPr>
                <w:rFonts w:hint="eastAsia"/>
                <w:bCs/>
                <w:color w:val="auto"/>
              </w:rPr>
              <w:t>%</w:t>
            </w:r>
          </w:p>
        </w:tc>
        <w:tc>
          <w:tcPr>
            <w:tcW w:w="936"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限值</w:t>
            </w:r>
          </w:p>
          <w:p>
            <w:pPr>
              <w:spacing w:line="276" w:lineRule="auto"/>
              <w:ind w:left="0" w:leftChars="0" w:firstLine="0" w:firstLineChars="0"/>
              <w:jc w:val="center"/>
              <w:rPr>
                <w:rFonts w:hint="eastAsia"/>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02" w:type="dxa"/>
            <w:vMerge w:val="restart"/>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1</w:t>
            </w:r>
          </w:p>
        </w:tc>
        <w:tc>
          <w:tcPr>
            <w:tcW w:w="735" w:type="dxa"/>
            <w:vMerge w:val="restart"/>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6月30日</w:t>
            </w:r>
          </w:p>
        </w:tc>
        <w:tc>
          <w:tcPr>
            <w:tcW w:w="2055"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厨房油烟排放口</w:t>
            </w:r>
          </w:p>
        </w:tc>
        <w:tc>
          <w:tcPr>
            <w:tcW w:w="1485"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1.32</w:t>
            </w:r>
          </w:p>
        </w:tc>
        <w:tc>
          <w:tcPr>
            <w:tcW w:w="1245"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w:t>
            </w:r>
          </w:p>
        </w:tc>
        <w:tc>
          <w:tcPr>
            <w:tcW w:w="1605"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2.58×10</w:t>
            </w:r>
            <w:r>
              <w:rPr>
                <w:rFonts w:hint="eastAsia"/>
                <w:bCs/>
                <w:color w:val="auto"/>
                <w:vertAlign w:val="superscript"/>
              </w:rPr>
              <w:t>4</w:t>
            </w:r>
          </w:p>
        </w:tc>
        <w:tc>
          <w:tcPr>
            <w:tcW w:w="1199" w:type="dxa"/>
            <w:vMerge w:val="restart"/>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86.0</w:t>
            </w:r>
          </w:p>
        </w:tc>
        <w:tc>
          <w:tcPr>
            <w:tcW w:w="936" w:type="dxa"/>
            <w:vMerge w:val="restart"/>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02" w:type="dxa"/>
            <w:vMerge w:val="continue"/>
            <w:shd w:val="clear" w:color="auto" w:fill="auto"/>
            <w:noWrap w:val="0"/>
            <w:vAlign w:val="center"/>
          </w:tcPr>
          <w:p>
            <w:pPr>
              <w:spacing w:line="276" w:lineRule="auto"/>
              <w:ind w:left="0" w:leftChars="0" w:firstLine="0" w:firstLineChars="0"/>
              <w:jc w:val="center"/>
              <w:rPr>
                <w:rFonts w:hint="eastAsia"/>
                <w:bCs/>
                <w:color w:val="auto"/>
              </w:rPr>
            </w:pPr>
          </w:p>
        </w:tc>
        <w:tc>
          <w:tcPr>
            <w:tcW w:w="735" w:type="dxa"/>
            <w:vMerge w:val="continue"/>
            <w:shd w:val="clear" w:color="auto" w:fill="auto"/>
            <w:noWrap w:val="0"/>
            <w:vAlign w:val="center"/>
          </w:tcPr>
          <w:p>
            <w:pPr>
              <w:spacing w:line="276" w:lineRule="auto"/>
              <w:ind w:left="0" w:leftChars="0" w:firstLine="0" w:firstLineChars="0"/>
              <w:jc w:val="center"/>
              <w:rPr>
                <w:rFonts w:hint="eastAsia"/>
                <w:bCs/>
                <w:color w:val="auto"/>
              </w:rPr>
            </w:pPr>
          </w:p>
        </w:tc>
        <w:tc>
          <w:tcPr>
            <w:tcW w:w="2055"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厨房油烟</w:t>
            </w:r>
          </w:p>
          <w:p>
            <w:pPr>
              <w:spacing w:line="276" w:lineRule="auto"/>
              <w:ind w:left="0" w:leftChars="0" w:firstLine="0" w:firstLineChars="0"/>
              <w:jc w:val="center"/>
              <w:rPr>
                <w:rFonts w:hint="eastAsia"/>
                <w:bCs/>
                <w:color w:val="auto"/>
              </w:rPr>
            </w:pPr>
            <w:r>
              <w:rPr>
                <w:rFonts w:hint="eastAsia"/>
                <w:bCs/>
                <w:color w:val="auto"/>
              </w:rPr>
              <w:t>净化后排放口</w:t>
            </w:r>
          </w:p>
        </w:tc>
        <w:tc>
          <w:tcPr>
            <w:tcW w:w="1485"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0.18</w:t>
            </w:r>
          </w:p>
        </w:tc>
        <w:tc>
          <w:tcPr>
            <w:tcW w:w="1245"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≤2.0</w:t>
            </w:r>
          </w:p>
        </w:tc>
        <w:tc>
          <w:tcPr>
            <w:tcW w:w="1605"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3.94×10</w:t>
            </w:r>
            <w:r>
              <w:rPr>
                <w:rFonts w:hint="eastAsia"/>
                <w:bCs/>
                <w:color w:val="auto"/>
                <w:vertAlign w:val="superscript"/>
              </w:rPr>
              <w:t>4</w:t>
            </w:r>
          </w:p>
        </w:tc>
        <w:tc>
          <w:tcPr>
            <w:tcW w:w="1199" w:type="dxa"/>
            <w:vMerge w:val="continue"/>
            <w:shd w:val="clear" w:color="auto" w:fill="auto"/>
            <w:noWrap w:val="0"/>
            <w:vAlign w:val="center"/>
          </w:tcPr>
          <w:p>
            <w:pPr>
              <w:spacing w:line="276" w:lineRule="auto"/>
              <w:ind w:left="0" w:leftChars="0" w:firstLine="0" w:firstLineChars="0"/>
              <w:jc w:val="center"/>
              <w:rPr>
                <w:rFonts w:hint="eastAsia"/>
                <w:bCs/>
                <w:color w:val="auto"/>
              </w:rPr>
            </w:pPr>
          </w:p>
        </w:tc>
        <w:tc>
          <w:tcPr>
            <w:tcW w:w="936" w:type="dxa"/>
            <w:vMerge w:val="continue"/>
            <w:shd w:val="clear" w:color="auto" w:fill="auto"/>
            <w:noWrap w:val="0"/>
            <w:vAlign w:val="center"/>
          </w:tcPr>
          <w:p>
            <w:pPr>
              <w:spacing w:line="276" w:lineRule="auto"/>
              <w:ind w:left="0" w:leftChars="0" w:firstLine="0" w:firstLineChars="0"/>
              <w:jc w:val="center"/>
              <w:rPr>
                <w:rFonts w:hint="eastAsia"/>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02" w:type="dxa"/>
            <w:vMerge w:val="restart"/>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2</w:t>
            </w:r>
          </w:p>
        </w:tc>
        <w:tc>
          <w:tcPr>
            <w:tcW w:w="735" w:type="dxa"/>
            <w:vMerge w:val="restart"/>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7月1日</w:t>
            </w:r>
          </w:p>
        </w:tc>
        <w:tc>
          <w:tcPr>
            <w:tcW w:w="2055"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厨房油烟排放口</w:t>
            </w:r>
          </w:p>
        </w:tc>
        <w:tc>
          <w:tcPr>
            <w:tcW w:w="1485"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2.78</w:t>
            </w:r>
          </w:p>
        </w:tc>
        <w:tc>
          <w:tcPr>
            <w:tcW w:w="1245"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w:t>
            </w:r>
          </w:p>
        </w:tc>
        <w:tc>
          <w:tcPr>
            <w:tcW w:w="1605"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2.50×10</w:t>
            </w:r>
            <w:r>
              <w:rPr>
                <w:rFonts w:hint="eastAsia"/>
                <w:bCs/>
                <w:color w:val="auto"/>
                <w:vertAlign w:val="superscript"/>
              </w:rPr>
              <w:t>4</w:t>
            </w:r>
          </w:p>
        </w:tc>
        <w:tc>
          <w:tcPr>
            <w:tcW w:w="1199" w:type="dxa"/>
            <w:vMerge w:val="restart"/>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77.0</w:t>
            </w:r>
          </w:p>
        </w:tc>
        <w:tc>
          <w:tcPr>
            <w:tcW w:w="936" w:type="dxa"/>
            <w:vMerge w:val="restart"/>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02" w:type="dxa"/>
            <w:vMerge w:val="continue"/>
            <w:shd w:val="clear" w:color="auto" w:fill="auto"/>
            <w:noWrap w:val="0"/>
            <w:vAlign w:val="center"/>
          </w:tcPr>
          <w:p>
            <w:pPr>
              <w:spacing w:line="276" w:lineRule="auto"/>
              <w:ind w:left="0" w:leftChars="0" w:firstLine="0" w:firstLineChars="0"/>
              <w:jc w:val="center"/>
              <w:rPr>
                <w:rFonts w:hint="eastAsia"/>
                <w:bCs/>
                <w:color w:val="auto"/>
              </w:rPr>
            </w:pPr>
          </w:p>
        </w:tc>
        <w:tc>
          <w:tcPr>
            <w:tcW w:w="735" w:type="dxa"/>
            <w:vMerge w:val="continue"/>
            <w:shd w:val="clear" w:color="auto" w:fill="auto"/>
            <w:noWrap w:val="0"/>
            <w:vAlign w:val="center"/>
          </w:tcPr>
          <w:p>
            <w:pPr>
              <w:spacing w:line="276" w:lineRule="auto"/>
              <w:ind w:left="0" w:leftChars="0" w:firstLine="0" w:firstLineChars="0"/>
              <w:jc w:val="center"/>
              <w:rPr>
                <w:rFonts w:hint="eastAsia"/>
                <w:bCs/>
                <w:color w:val="auto"/>
              </w:rPr>
            </w:pPr>
          </w:p>
        </w:tc>
        <w:tc>
          <w:tcPr>
            <w:tcW w:w="2055" w:type="dxa"/>
            <w:shd w:val="clear" w:color="auto" w:fill="auto"/>
            <w:noWrap w:val="0"/>
            <w:vAlign w:val="center"/>
          </w:tcPr>
          <w:p>
            <w:pPr>
              <w:spacing w:line="276" w:lineRule="auto"/>
              <w:ind w:left="0" w:leftChars="0" w:firstLine="0" w:firstLineChars="0"/>
              <w:jc w:val="center"/>
              <w:rPr>
                <w:rFonts w:hint="eastAsia"/>
                <w:bCs/>
                <w:color w:val="auto"/>
              </w:rPr>
            </w:pPr>
            <w:bookmarkStart w:id="250" w:name="_Hlk44747340"/>
            <w:r>
              <w:rPr>
                <w:rFonts w:hint="eastAsia"/>
                <w:bCs/>
                <w:color w:val="auto"/>
              </w:rPr>
              <w:t>厨房油烟</w:t>
            </w:r>
          </w:p>
          <w:p>
            <w:pPr>
              <w:spacing w:line="276" w:lineRule="auto"/>
              <w:ind w:left="0" w:leftChars="0" w:firstLine="0" w:firstLineChars="0"/>
              <w:jc w:val="center"/>
              <w:rPr>
                <w:rFonts w:hint="eastAsia"/>
                <w:bCs/>
                <w:color w:val="auto"/>
              </w:rPr>
            </w:pPr>
            <w:r>
              <w:rPr>
                <w:rFonts w:hint="eastAsia"/>
                <w:bCs/>
                <w:color w:val="auto"/>
              </w:rPr>
              <w:t>净化后排放口</w:t>
            </w:r>
            <w:bookmarkEnd w:id="250"/>
          </w:p>
        </w:tc>
        <w:tc>
          <w:tcPr>
            <w:tcW w:w="1485"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0.64</w:t>
            </w:r>
          </w:p>
        </w:tc>
        <w:tc>
          <w:tcPr>
            <w:tcW w:w="1245"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≤2.0</w:t>
            </w:r>
          </w:p>
        </w:tc>
        <w:tc>
          <w:tcPr>
            <w:tcW w:w="1605" w:type="dxa"/>
            <w:shd w:val="clear" w:color="auto" w:fill="auto"/>
            <w:noWrap w:val="0"/>
            <w:vAlign w:val="center"/>
          </w:tcPr>
          <w:p>
            <w:pPr>
              <w:spacing w:line="276" w:lineRule="auto"/>
              <w:ind w:left="0" w:leftChars="0" w:firstLine="0" w:firstLineChars="0"/>
              <w:jc w:val="center"/>
              <w:rPr>
                <w:rFonts w:hint="eastAsia"/>
                <w:bCs/>
                <w:color w:val="auto"/>
              </w:rPr>
            </w:pPr>
            <w:r>
              <w:rPr>
                <w:rFonts w:hint="eastAsia"/>
                <w:bCs/>
                <w:color w:val="auto"/>
              </w:rPr>
              <w:t>3.65×10</w:t>
            </w:r>
            <w:r>
              <w:rPr>
                <w:rFonts w:hint="eastAsia"/>
                <w:bCs/>
                <w:color w:val="auto"/>
                <w:vertAlign w:val="superscript"/>
              </w:rPr>
              <w:t>4</w:t>
            </w:r>
          </w:p>
        </w:tc>
        <w:tc>
          <w:tcPr>
            <w:tcW w:w="1199" w:type="dxa"/>
            <w:vMerge w:val="continue"/>
            <w:shd w:val="clear" w:color="auto" w:fill="auto"/>
            <w:noWrap w:val="0"/>
            <w:vAlign w:val="center"/>
          </w:tcPr>
          <w:p>
            <w:pPr>
              <w:spacing w:line="276" w:lineRule="auto"/>
              <w:ind w:left="0" w:leftChars="0" w:firstLine="0" w:firstLineChars="0"/>
              <w:jc w:val="center"/>
              <w:rPr>
                <w:rFonts w:hint="eastAsia"/>
                <w:bCs/>
                <w:color w:val="auto"/>
              </w:rPr>
            </w:pPr>
          </w:p>
        </w:tc>
        <w:tc>
          <w:tcPr>
            <w:tcW w:w="936" w:type="dxa"/>
            <w:vMerge w:val="continue"/>
            <w:shd w:val="clear" w:color="auto" w:fill="auto"/>
            <w:noWrap w:val="0"/>
            <w:vAlign w:val="center"/>
          </w:tcPr>
          <w:p>
            <w:pPr>
              <w:spacing w:line="276" w:lineRule="auto"/>
              <w:ind w:left="0" w:leftChars="0" w:firstLine="0" w:firstLineChars="0"/>
              <w:jc w:val="center"/>
              <w:rPr>
                <w:rFonts w:hint="eastAsia"/>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exact"/>
          <w:jc w:val="center"/>
        </w:trPr>
        <w:tc>
          <w:tcPr>
            <w:tcW w:w="9962" w:type="dxa"/>
            <w:gridSpan w:val="8"/>
            <w:shd w:val="clear" w:color="auto" w:fill="auto"/>
            <w:noWrap w:val="0"/>
            <w:vAlign w:val="center"/>
          </w:tcPr>
          <w:p>
            <w:pPr>
              <w:spacing w:line="276" w:lineRule="auto"/>
              <w:ind w:left="0" w:leftChars="0" w:firstLine="0" w:firstLineChars="0"/>
              <w:jc w:val="both"/>
              <w:rPr>
                <w:rFonts w:hint="eastAsia"/>
                <w:bCs/>
                <w:color w:val="auto"/>
              </w:rPr>
            </w:pPr>
            <w:r>
              <w:rPr>
                <w:rFonts w:hint="eastAsia"/>
                <w:bCs/>
                <w:color w:val="auto"/>
              </w:rPr>
              <w:t>说明：基准灶头数：3个，工作灶头数：2个。</w:t>
            </w:r>
          </w:p>
        </w:tc>
      </w:tr>
    </w:tbl>
    <w:p>
      <w:pPr>
        <w:bidi w:val="0"/>
        <w:ind w:left="0" w:leftChars="0" w:firstLine="0" w:firstLineChars="0"/>
        <w:jc w:val="center"/>
        <w:rPr>
          <w:rFonts w:hint="eastAsia" w:ascii="黑体" w:hAnsi="黑体" w:eastAsia="黑体" w:cs="黑体"/>
          <w:b w:val="0"/>
          <w:bCs w:val="0"/>
          <w:color w:val="000000"/>
          <w:kern w:val="0"/>
          <w:sz w:val="24"/>
          <w:szCs w:val="24"/>
          <w:lang w:val="en-US" w:eastAsia="zh-CN" w:bidi="ar-SA"/>
        </w:rPr>
      </w:pPr>
      <w:bookmarkStart w:id="251" w:name="_Toc1148"/>
    </w:p>
    <w:p>
      <w:pPr>
        <w:bidi w:val="0"/>
        <w:ind w:left="0" w:leftChars="0" w:firstLine="0" w:firstLineChars="0"/>
        <w:jc w:val="center"/>
        <w:rPr>
          <w:rFonts w:hint="eastAsia"/>
          <w:lang w:val="en-US" w:eastAsia="zh-CN"/>
        </w:rPr>
      </w:pPr>
      <w:r>
        <w:rPr>
          <w:rFonts w:hint="eastAsia" w:ascii="黑体" w:hAnsi="黑体" w:eastAsia="黑体" w:cs="黑体"/>
          <w:b w:val="0"/>
          <w:bCs w:val="0"/>
          <w:color w:val="000000"/>
          <w:kern w:val="0"/>
          <w:sz w:val="24"/>
          <w:szCs w:val="24"/>
          <w:lang w:val="en-US" w:eastAsia="zh-CN" w:bidi="ar-SA"/>
        </w:rPr>
        <w:t>表10.2-2  无组织颗粒物排放检测结果</w:t>
      </w:r>
      <w:bookmarkEnd w:id="251"/>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700"/>
        <w:gridCol w:w="1400"/>
        <w:gridCol w:w="972"/>
        <w:gridCol w:w="605"/>
        <w:gridCol w:w="367"/>
        <w:gridCol w:w="972"/>
        <w:gridCol w:w="1"/>
        <w:gridCol w:w="971"/>
        <w:gridCol w:w="972"/>
        <w:gridCol w:w="974"/>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4928" w:type="dxa"/>
            <w:gridSpan w:val="5"/>
            <w:shd w:val="clear" w:color="auto" w:fill="auto"/>
            <w:noWrap w:val="0"/>
            <w:vAlign w:val="center"/>
          </w:tcPr>
          <w:p>
            <w:pPr>
              <w:bidi w:val="0"/>
              <w:ind w:left="0" w:leftChars="0" w:firstLine="0" w:firstLineChars="0"/>
            </w:pPr>
            <w:r>
              <w:rPr>
                <w:rFonts w:hint="eastAsia"/>
                <w:b/>
                <w:bCs/>
              </w:rPr>
              <w:t>执行标准：</w:t>
            </w:r>
            <w:r>
              <w:rPr>
                <w:rFonts w:hint="eastAsia"/>
              </w:rPr>
              <w:t>《大气污染物排放限值》</w:t>
            </w:r>
            <w:r>
              <w:t>（DB44/27-2001）</w:t>
            </w:r>
            <w:r>
              <w:rPr>
                <w:rFonts w:hint="eastAsia"/>
              </w:rPr>
              <w:t>中表</w:t>
            </w:r>
            <w:r>
              <w:t>2</w:t>
            </w:r>
            <w:r>
              <w:rPr>
                <w:rFonts w:hint="eastAsia"/>
              </w:rPr>
              <w:t>工艺废气大气污染物排放限值（第二时段）所规定的颗粒物无组织排放监控浓度限值的限值要求。</w:t>
            </w:r>
          </w:p>
        </w:tc>
        <w:tc>
          <w:tcPr>
            <w:tcW w:w="4926" w:type="dxa"/>
            <w:gridSpan w:val="7"/>
            <w:shd w:val="clear" w:color="auto" w:fill="auto"/>
            <w:noWrap w:val="0"/>
            <w:vAlign w:val="center"/>
          </w:tcPr>
          <w:p>
            <w:pPr>
              <w:spacing w:line="360" w:lineRule="auto"/>
              <w:jc w:val="center"/>
              <w:rPr>
                <w:bCs/>
              </w:rPr>
            </w:pPr>
            <w:r>
              <w:rPr>
                <w:bCs/>
              </w:rPr>
              <w:drawing>
                <wp:inline distT="0" distB="0" distL="114300" distR="114300">
                  <wp:extent cx="2675890" cy="1181100"/>
                  <wp:effectExtent l="0" t="0" r="10160" b="0"/>
                  <wp:docPr id="5" name="图片 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无标题"/>
                          <pic:cNvPicPr>
                            <a:picLocks noChangeAspect="1"/>
                          </pic:cNvPicPr>
                        </pic:nvPicPr>
                        <pic:blipFill>
                          <a:blip r:embed="rId8"/>
                          <a:stretch>
                            <a:fillRect/>
                          </a:stretch>
                        </pic:blipFill>
                        <pic:spPr>
                          <a:xfrm>
                            <a:off x="0" y="0"/>
                            <a:ext cx="2675890" cy="1181100"/>
                          </a:xfrm>
                          <a:prstGeom prst="rect">
                            <a:avLst/>
                          </a:prstGeom>
                          <a:noFill/>
                          <a:ln>
                            <a:noFill/>
                          </a:ln>
                        </pic:spPr>
                      </pic:pic>
                    </a:graphicData>
                  </a:graphic>
                </wp:inline>
              </w:drawing>
            </w:r>
          </w:p>
          <w:p>
            <w:pPr>
              <w:spacing w:line="360" w:lineRule="auto"/>
              <w:ind w:left="0" w:leftChars="0" w:firstLine="0" w:firstLineChars="0"/>
              <w:jc w:val="center"/>
              <w:rPr>
                <w:rFonts w:hint="eastAsia"/>
                <w:bCs/>
                <w:color w:val="FF0000"/>
              </w:rPr>
            </w:pPr>
            <w:r>
              <w:rPr>
                <w:rFonts w:hint="eastAsia"/>
                <w:b/>
                <w:bCs/>
              </w:rPr>
              <w:t>检测点位示意图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9854" w:type="dxa"/>
            <w:gridSpan w:val="12"/>
            <w:shd w:val="clear" w:color="auto" w:fill="auto"/>
            <w:noWrap w:val="0"/>
            <w:vAlign w:val="top"/>
          </w:tcPr>
          <w:p>
            <w:pPr>
              <w:spacing w:line="276" w:lineRule="auto"/>
              <w:jc w:val="center"/>
              <w:rPr>
                <w:rFonts w:hint="eastAsia"/>
                <w:bCs/>
                <w:sz w:val="24"/>
              </w:rPr>
            </w:pPr>
            <w:r>
              <w:rPr>
                <w:rFonts w:hint="eastAsia"/>
                <w:bCs/>
                <w:sz w:val="24"/>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251" w:type="dxa"/>
            <w:vMerge w:val="restart"/>
            <w:shd w:val="clear" w:color="auto" w:fill="auto"/>
            <w:noWrap w:val="0"/>
            <w:vAlign w:val="center"/>
          </w:tcPr>
          <w:p>
            <w:pPr>
              <w:spacing w:line="276" w:lineRule="auto"/>
              <w:ind w:left="0" w:leftChars="0" w:firstLine="0" w:firstLineChars="0"/>
              <w:jc w:val="center"/>
              <w:rPr>
                <w:rFonts w:hint="eastAsia"/>
                <w:bCs/>
              </w:rPr>
            </w:pPr>
            <w:r>
              <w:rPr>
                <w:rFonts w:hint="eastAsia"/>
                <w:bCs/>
              </w:rPr>
              <w:t>分析</w:t>
            </w:r>
          </w:p>
          <w:p>
            <w:pPr>
              <w:spacing w:line="276" w:lineRule="auto"/>
              <w:ind w:left="0" w:leftChars="0" w:firstLine="0" w:firstLineChars="0"/>
              <w:jc w:val="center"/>
              <w:rPr>
                <w:rFonts w:hint="eastAsia"/>
                <w:bCs/>
              </w:rPr>
            </w:pPr>
            <w:r>
              <w:rPr>
                <w:rFonts w:hint="eastAsia"/>
                <w:bCs/>
              </w:rPr>
              <w:t>项目</w:t>
            </w:r>
          </w:p>
        </w:tc>
        <w:tc>
          <w:tcPr>
            <w:tcW w:w="2100" w:type="dxa"/>
            <w:gridSpan w:val="2"/>
            <w:vMerge w:val="restart"/>
            <w:shd w:val="clear" w:color="auto" w:fill="auto"/>
            <w:noWrap w:val="0"/>
            <w:vAlign w:val="center"/>
          </w:tcPr>
          <w:p>
            <w:pPr>
              <w:spacing w:line="276" w:lineRule="auto"/>
              <w:ind w:left="0" w:leftChars="0" w:firstLine="0" w:firstLineChars="0"/>
              <w:jc w:val="center"/>
              <w:rPr>
                <w:rFonts w:hint="eastAsia"/>
                <w:bCs/>
              </w:rPr>
            </w:pPr>
            <w:r>
              <w:rPr>
                <w:rFonts w:hint="eastAsia"/>
                <w:bCs/>
              </w:rPr>
              <mc:AlternateContent>
                <mc:Choice Requires="wps">
                  <w:drawing>
                    <wp:anchor distT="0" distB="0" distL="114300" distR="114300" simplePos="0" relativeHeight="252135424" behindDoc="0" locked="0" layoutInCell="1" allowOverlap="1">
                      <wp:simplePos x="0" y="0"/>
                      <wp:positionH relativeFrom="column">
                        <wp:posOffset>-64135</wp:posOffset>
                      </wp:positionH>
                      <wp:positionV relativeFrom="paragraph">
                        <wp:posOffset>40640</wp:posOffset>
                      </wp:positionV>
                      <wp:extent cx="1265555" cy="859155"/>
                      <wp:effectExtent l="2540" t="3810" r="8255" b="13335"/>
                      <wp:wrapNone/>
                      <wp:docPr id="6" name="直接箭头连接符 6"/>
                      <wp:cNvGraphicFramePr/>
                      <a:graphic xmlns:a="http://schemas.openxmlformats.org/drawingml/2006/main">
                        <a:graphicData uri="http://schemas.microsoft.com/office/word/2010/wordprocessingShape">
                          <wps:wsp>
                            <wps:cNvCnPr/>
                            <wps:spPr>
                              <a:xfrm>
                                <a:off x="0" y="0"/>
                                <a:ext cx="1265555" cy="8591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05pt;margin-top:3.2pt;height:67.65pt;width:99.65pt;z-index:252135424;mso-width-relative:page;mso-height-relative:page;" filled="f" stroked="t" coordsize="21600,21600" o:gfxdata="UEsDBAoAAAAAAIdO4kAAAAAAAAAAAAAAAAAEAAAAZHJzL1BLAwQUAAAACACHTuJAfGWVSdgAAAAJ&#10;AQAADwAAAGRycy9kb3ducmV2LnhtbE2PwU7DMBBE70j8g7VIXFBrOyqlDdlUCIkDR9pKXN14SQLx&#10;OoqdpvTrcU/0NqsZzbwtNifXiSMNofWMoOcKBHHlbcs1wn73NluBCNGwNZ1nQvilAJvy9qYwufUT&#10;f9BxG2uRSjjkBqGJsc+lDFVDzoS574mT9+UHZ2I6h1rawUyp3HUyU2opnWk5LTSmp9eGqp/t6BAo&#10;jI9avaxdvX8/Tw+f2fl76neI93daPYOIdIr/YbjgJ3QoE9PBj2yD6BBmWukURVguQFz81ToDcUhi&#10;oZ9AloW8/qD8A1BLAwQUAAAACACHTuJASBr8QuMBAACjAwAADgAAAGRycy9lMm9Eb2MueG1srVNL&#10;jhMxEN0jcQfLe9JJpEQzrXRmkTBsEEQCDlCx3d2W/JPLpJNLcAEkVsAKWM2e08BwDMpOyPDZIEQv&#10;3GVXvap6z+XF1d4atlMRtXcNn4zGnCknvNSua/iL59cPLjjDBE6C8U41/KCQXy3v31sMoVZT33sj&#10;VWSUxGE9hIb3KYW6qlD0ygKOfFCOnK2PFhJtY1fJCANlt6aajsfzavBRhuiFQqTT9dHJlyV/2yqR&#10;nrYtqsRMw6m3VNZY1m1eq+UC6i5C6LU4tQH/0IUF7ajoOdUaErCXUf+RymoRPfo2jYS3lW9bLVTh&#10;QGwm49/YPOshqMKFxMFwlgn/X1rxZLeJTMuGzzlzYOmKbl/ffH317vbTxy9vb759fpPtD+/ZPEs1&#10;BKwJsXKbeNph2MTMe99Gm//EiO2LvIezvGqfmKDDyXQ+o48zQb6L2eWEbEpT3aFDxPRIecuy0XBM&#10;EXTXp5V3jm7Sx0nRGHaPMR2BPwC5tHFsaPjlbJorAM1SayCRaQOxQ9cVLHqj5bU2JiMwdtuViWwH&#10;eTrKd2rol7BcZA3YH+OKK4dB3SuQD51k6RBIN0cDznMLVknOjKL3kK0SmUCbv4kkLYwjSbLQR2mz&#10;tfXyUBQv5zQJRbTT1OZR+3lf0Hdva/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GWVSdgAAAAJ&#10;AQAADwAAAAAAAAABACAAAAAiAAAAZHJzL2Rvd25yZXYueG1sUEsBAhQAFAAAAAgAh07iQEga/ELj&#10;AQAAowMAAA4AAAAAAAAAAQAgAAAAJwEAAGRycy9lMm9Eb2MueG1sUEsFBgAAAAAGAAYAWQEAAHwF&#10;AAAAAA==&#10;">
                      <v:fill on="f" focussize="0,0"/>
                      <v:stroke color="#000000" joinstyle="round"/>
                      <v:imagedata o:title=""/>
                      <o:lock v:ext="edit" aspectratio="f"/>
                    </v:shape>
                  </w:pict>
                </mc:Fallback>
              </mc:AlternateContent>
            </w:r>
            <w:r>
              <w:rPr>
                <w:rFonts w:hint="eastAsia"/>
                <w:bCs/>
              </w:rPr>
              <w:t xml:space="preserve">     采样时间、</w:t>
            </w:r>
            <w:r>
              <w:rPr>
                <w:rFonts w:hint="eastAsia"/>
                <w:bCs/>
                <w:lang w:val="en-US" w:eastAsia="zh-CN"/>
              </w:rPr>
              <w:t xml:space="preserve">     </w:t>
            </w:r>
            <w:r>
              <w:rPr>
                <w:rFonts w:hint="eastAsia"/>
                <w:bCs/>
              </w:rPr>
              <w:t>频次</w:t>
            </w:r>
          </w:p>
          <w:p>
            <w:pPr>
              <w:spacing w:line="276" w:lineRule="auto"/>
              <w:ind w:left="0" w:leftChars="0" w:firstLine="0" w:firstLineChars="0"/>
              <w:jc w:val="center"/>
              <w:rPr>
                <w:rFonts w:hint="eastAsia"/>
                <w:bCs/>
              </w:rPr>
            </w:pPr>
          </w:p>
          <w:p>
            <w:pPr>
              <w:spacing w:line="276" w:lineRule="auto"/>
              <w:ind w:left="0" w:leftChars="0" w:firstLine="0" w:firstLineChars="0"/>
              <w:jc w:val="center"/>
              <w:rPr>
                <w:rFonts w:hint="eastAsia"/>
                <w:bCs/>
              </w:rPr>
            </w:pPr>
            <w:r>
              <w:rPr>
                <w:rFonts w:hint="eastAsia"/>
                <w:bCs/>
              </w:rPr>
              <w:t>检测点位</w:t>
            </w:r>
          </w:p>
        </w:tc>
        <w:tc>
          <w:tcPr>
            <w:tcW w:w="2917" w:type="dxa"/>
            <w:gridSpan w:val="5"/>
            <w:shd w:val="clear" w:color="auto" w:fill="auto"/>
            <w:noWrap w:val="0"/>
            <w:vAlign w:val="center"/>
          </w:tcPr>
          <w:p>
            <w:pPr>
              <w:spacing w:line="276" w:lineRule="auto"/>
              <w:ind w:left="0" w:leftChars="0" w:firstLine="0" w:firstLineChars="0"/>
              <w:jc w:val="center"/>
              <w:rPr>
                <w:rFonts w:hint="eastAsia"/>
                <w:bCs/>
              </w:rPr>
            </w:pPr>
            <w:r>
              <w:rPr>
                <w:rFonts w:hint="eastAsia"/>
                <w:bCs/>
              </w:rPr>
              <w:t>6月20日</w:t>
            </w:r>
          </w:p>
        </w:tc>
        <w:tc>
          <w:tcPr>
            <w:tcW w:w="2917" w:type="dxa"/>
            <w:gridSpan w:val="3"/>
            <w:shd w:val="clear" w:color="auto" w:fill="auto"/>
            <w:noWrap w:val="0"/>
            <w:vAlign w:val="center"/>
          </w:tcPr>
          <w:p>
            <w:pPr>
              <w:spacing w:line="276" w:lineRule="auto"/>
              <w:ind w:left="0" w:leftChars="0" w:firstLine="0" w:firstLineChars="0"/>
              <w:jc w:val="center"/>
              <w:rPr>
                <w:rFonts w:hint="eastAsia"/>
                <w:bCs/>
              </w:rPr>
            </w:pPr>
            <w:r>
              <w:rPr>
                <w:rFonts w:hint="eastAsia"/>
                <w:bCs/>
              </w:rPr>
              <w:t>6月22日</w:t>
            </w:r>
          </w:p>
        </w:tc>
        <w:tc>
          <w:tcPr>
            <w:tcW w:w="669" w:type="dxa"/>
            <w:vMerge w:val="restart"/>
            <w:shd w:val="clear" w:color="auto" w:fill="auto"/>
            <w:noWrap w:val="0"/>
            <w:vAlign w:val="center"/>
          </w:tcPr>
          <w:p>
            <w:pPr>
              <w:spacing w:line="276" w:lineRule="auto"/>
              <w:ind w:left="0" w:leftChars="0" w:firstLine="0" w:firstLineChars="0"/>
              <w:jc w:val="center"/>
              <w:rPr>
                <w:rFonts w:hint="eastAsia"/>
                <w:bCs/>
              </w:rPr>
            </w:pPr>
            <w:r>
              <w:rPr>
                <w:rFonts w:hint="eastAsia"/>
                <w:bCs/>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251" w:type="dxa"/>
            <w:vMerge w:val="continue"/>
            <w:shd w:val="clear" w:color="auto" w:fill="auto"/>
            <w:noWrap w:val="0"/>
            <w:vAlign w:val="center"/>
          </w:tcPr>
          <w:p>
            <w:pPr>
              <w:spacing w:line="276" w:lineRule="auto"/>
              <w:ind w:left="0" w:leftChars="0" w:firstLine="0" w:firstLineChars="0"/>
              <w:jc w:val="center"/>
              <w:rPr>
                <w:rFonts w:hint="eastAsia"/>
                <w:bCs/>
              </w:rPr>
            </w:pPr>
          </w:p>
        </w:tc>
        <w:tc>
          <w:tcPr>
            <w:tcW w:w="2100" w:type="dxa"/>
            <w:gridSpan w:val="2"/>
            <w:vMerge w:val="continue"/>
            <w:shd w:val="clear" w:color="auto" w:fill="auto"/>
            <w:noWrap w:val="0"/>
            <w:vAlign w:val="center"/>
          </w:tcPr>
          <w:p>
            <w:pPr>
              <w:spacing w:line="276" w:lineRule="auto"/>
              <w:ind w:left="0" w:leftChars="0" w:firstLine="0" w:firstLineChars="0"/>
              <w:jc w:val="center"/>
              <w:rPr>
                <w:rFonts w:hint="eastAsia"/>
                <w:bCs/>
              </w:rPr>
            </w:pPr>
          </w:p>
        </w:tc>
        <w:tc>
          <w:tcPr>
            <w:tcW w:w="972" w:type="dxa"/>
            <w:shd w:val="clear" w:color="auto" w:fill="auto"/>
            <w:noWrap w:val="0"/>
            <w:vAlign w:val="center"/>
          </w:tcPr>
          <w:p>
            <w:pPr>
              <w:spacing w:line="276" w:lineRule="auto"/>
              <w:ind w:left="0" w:leftChars="0" w:firstLine="0" w:firstLineChars="0"/>
              <w:jc w:val="center"/>
              <w:rPr>
                <w:rFonts w:hint="eastAsia"/>
                <w:bCs/>
              </w:rPr>
            </w:pPr>
            <w:r>
              <w:rPr>
                <w:rFonts w:hint="eastAsia"/>
                <w:bCs/>
              </w:rPr>
              <w:t>1</w:t>
            </w:r>
          </w:p>
        </w:tc>
        <w:tc>
          <w:tcPr>
            <w:tcW w:w="972" w:type="dxa"/>
            <w:gridSpan w:val="2"/>
            <w:shd w:val="clear" w:color="auto" w:fill="auto"/>
            <w:noWrap w:val="0"/>
            <w:vAlign w:val="center"/>
          </w:tcPr>
          <w:p>
            <w:pPr>
              <w:spacing w:line="276" w:lineRule="auto"/>
              <w:ind w:left="0" w:leftChars="0" w:firstLine="0" w:firstLineChars="0"/>
              <w:jc w:val="center"/>
              <w:rPr>
                <w:rFonts w:hint="eastAsia"/>
                <w:bCs/>
              </w:rPr>
            </w:pPr>
            <w:r>
              <w:rPr>
                <w:rFonts w:hint="eastAsia"/>
                <w:bCs/>
              </w:rPr>
              <w:t>2</w:t>
            </w:r>
          </w:p>
        </w:tc>
        <w:tc>
          <w:tcPr>
            <w:tcW w:w="972" w:type="dxa"/>
            <w:shd w:val="clear" w:color="auto" w:fill="auto"/>
            <w:noWrap w:val="0"/>
            <w:vAlign w:val="center"/>
          </w:tcPr>
          <w:p>
            <w:pPr>
              <w:spacing w:line="276" w:lineRule="auto"/>
              <w:ind w:left="0" w:leftChars="0" w:firstLine="0" w:firstLineChars="0"/>
              <w:jc w:val="center"/>
              <w:rPr>
                <w:rFonts w:hint="eastAsia"/>
                <w:bCs/>
              </w:rPr>
            </w:pPr>
            <w:r>
              <w:rPr>
                <w:rFonts w:hint="eastAsia"/>
                <w:bCs/>
              </w:rPr>
              <w:t>3</w:t>
            </w:r>
          </w:p>
        </w:tc>
        <w:tc>
          <w:tcPr>
            <w:tcW w:w="972" w:type="dxa"/>
            <w:gridSpan w:val="2"/>
            <w:shd w:val="clear" w:color="auto" w:fill="auto"/>
            <w:noWrap w:val="0"/>
            <w:vAlign w:val="center"/>
          </w:tcPr>
          <w:p>
            <w:pPr>
              <w:spacing w:line="276" w:lineRule="auto"/>
              <w:ind w:left="0" w:leftChars="0" w:firstLine="0" w:firstLineChars="0"/>
              <w:jc w:val="center"/>
              <w:rPr>
                <w:rFonts w:hint="eastAsia"/>
                <w:bCs/>
              </w:rPr>
            </w:pPr>
            <w:r>
              <w:rPr>
                <w:rFonts w:hint="eastAsia"/>
                <w:bCs/>
              </w:rPr>
              <w:t>1</w:t>
            </w:r>
          </w:p>
        </w:tc>
        <w:tc>
          <w:tcPr>
            <w:tcW w:w="972" w:type="dxa"/>
            <w:shd w:val="clear" w:color="auto" w:fill="auto"/>
            <w:noWrap w:val="0"/>
            <w:vAlign w:val="center"/>
          </w:tcPr>
          <w:p>
            <w:pPr>
              <w:spacing w:line="276" w:lineRule="auto"/>
              <w:ind w:left="0" w:leftChars="0" w:firstLine="0" w:firstLineChars="0"/>
              <w:jc w:val="center"/>
              <w:rPr>
                <w:rFonts w:hint="eastAsia"/>
                <w:bCs/>
              </w:rPr>
            </w:pPr>
            <w:r>
              <w:rPr>
                <w:rFonts w:hint="eastAsia"/>
                <w:bCs/>
              </w:rPr>
              <w:t>2</w:t>
            </w:r>
          </w:p>
        </w:tc>
        <w:tc>
          <w:tcPr>
            <w:tcW w:w="974" w:type="dxa"/>
            <w:shd w:val="clear" w:color="auto" w:fill="auto"/>
            <w:noWrap w:val="0"/>
            <w:vAlign w:val="center"/>
          </w:tcPr>
          <w:p>
            <w:pPr>
              <w:spacing w:line="276" w:lineRule="auto"/>
              <w:ind w:left="0" w:leftChars="0" w:firstLine="0" w:firstLineChars="0"/>
              <w:jc w:val="center"/>
              <w:rPr>
                <w:rFonts w:hint="eastAsia"/>
                <w:bCs/>
              </w:rPr>
            </w:pPr>
            <w:r>
              <w:rPr>
                <w:rFonts w:hint="eastAsia"/>
                <w:bCs/>
              </w:rPr>
              <w:t>3</w:t>
            </w:r>
          </w:p>
        </w:tc>
        <w:tc>
          <w:tcPr>
            <w:tcW w:w="669" w:type="dxa"/>
            <w:vMerge w:val="continue"/>
            <w:shd w:val="clear" w:color="auto" w:fill="auto"/>
            <w:noWrap w:val="0"/>
            <w:vAlign w:val="center"/>
          </w:tcPr>
          <w:p>
            <w:pPr>
              <w:spacing w:line="276" w:lineRule="auto"/>
              <w:ind w:left="0" w:leftChars="0" w:firstLine="0" w:firstLineChars="0"/>
              <w:jc w:val="center"/>
              <w:rPr>
                <w:rFonts w:hint="eastAsia"/>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251" w:type="dxa"/>
            <w:vMerge w:val="restart"/>
            <w:shd w:val="clear" w:color="auto" w:fill="auto"/>
            <w:noWrap w:val="0"/>
            <w:vAlign w:val="center"/>
          </w:tcPr>
          <w:p>
            <w:pPr>
              <w:spacing w:line="276" w:lineRule="auto"/>
              <w:ind w:left="0" w:leftChars="0" w:firstLine="0" w:firstLineChars="0"/>
              <w:jc w:val="center"/>
              <w:rPr>
                <w:rFonts w:hint="eastAsia"/>
                <w:bCs/>
              </w:rPr>
            </w:pPr>
            <w:r>
              <w:rPr>
                <w:rFonts w:hint="eastAsia"/>
                <w:bCs/>
              </w:rPr>
              <w:t>颗粒物</w:t>
            </w:r>
          </w:p>
          <w:p>
            <w:pPr>
              <w:spacing w:line="276" w:lineRule="auto"/>
              <w:ind w:left="0" w:leftChars="0" w:firstLine="0" w:firstLineChars="0"/>
              <w:jc w:val="center"/>
              <w:rPr>
                <w:rFonts w:hint="eastAsia"/>
                <w:bCs/>
              </w:rPr>
            </w:pPr>
            <w:r>
              <w:rPr>
                <w:rFonts w:hint="eastAsia"/>
                <w:bCs/>
              </w:rPr>
              <w:t>（mg/m</w:t>
            </w:r>
            <w:r>
              <w:rPr>
                <w:rFonts w:hint="eastAsia"/>
                <w:bCs/>
                <w:vertAlign w:val="superscript"/>
              </w:rPr>
              <w:t>3</w:t>
            </w:r>
            <w:r>
              <w:rPr>
                <w:rFonts w:hint="eastAsia"/>
                <w:bCs/>
              </w:rPr>
              <w:t>）</w:t>
            </w:r>
          </w:p>
        </w:tc>
        <w:tc>
          <w:tcPr>
            <w:tcW w:w="700" w:type="dxa"/>
            <w:vMerge w:val="restart"/>
            <w:shd w:val="clear" w:color="auto" w:fill="auto"/>
            <w:noWrap w:val="0"/>
            <w:vAlign w:val="center"/>
          </w:tcPr>
          <w:p>
            <w:pPr>
              <w:spacing w:line="276" w:lineRule="auto"/>
              <w:ind w:left="0" w:leftChars="0" w:firstLine="0" w:firstLineChars="0"/>
              <w:jc w:val="center"/>
              <w:rPr>
                <w:rFonts w:hint="eastAsia"/>
                <w:bCs/>
              </w:rPr>
            </w:pPr>
            <w:r>
              <w:rPr>
                <w:rFonts w:hint="eastAsia"/>
                <w:bCs/>
              </w:rPr>
              <w:t>无组织废气监测点位</w:t>
            </w:r>
          </w:p>
        </w:tc>
        <w:tc>
          <w:tcPr>
            <w:tcW w:w="1400" w:type="dxa"/>
            <w:shd w:val="clear" w:color="auto" w:fill="auto"/>
            <w:noWrap w:val="0"/>
            <w:vAlign w:val="center"/>
          </w:tcPr>
          <w:p>
            <w:pPr>
              <w:spacing w:line="240" w:lineRule="auto"/>
              <w:ind w:left="0" w:leftChars="0" w:firstLine="0" w:firstLineChars="0"/>
              <w:jc w:val="center"/>
              <w:rPr>
                <w:rFonts w:hint="eastAsia"/>
                <w:bCs/>
              </w:rPr>
            </w:pPr>
            <w:r>
              <w:rPr>
                <w:rFonts w:hint="eastAsia"/>
                <w:bCs/>
              </w:rPr>
              <w:t>上风向</w:t>
            </w:r>
          </w:p>
        </w:tc>
        <w:tc>
          <w:tcPr>
            <w:tcW w:w="972" w:type="dxa"/>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9.38×10</w:t>
            </w:r>
            <w:r>
              <w:rPr>
                <w:rFonts w:hint="eastAsia"/>
                <w:bCs/>
                <w:sz w:val="24"/>
                <w:szCs w:val="24"/>
                <w:vertAlign w:val="superscript"/>
              </w:rPr>
              <w:t>-2</w:t>
            </w:r>
          </w:p>
        </w:tc>
        <w:tc>
          <w:tcPr>
            <w:tcW w:w="972" w:type="dxa"/>
            <w:gridSpan w:val="2"/>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7.65×10</w:t>
            </w:r>
            <w:r>
              <w:rPr>
                <w:rFonts w:hint="eastAsia"/>
                <w:bCs/>
                <w:sz w:val="24"/>
                <w:szCs w:val="24"/>
                <w:vertAlign w:val="superscript"/>
              </w:rPr>
              <w:t>-2</w:t>
            </w:r>
          </w:p>
        </w:tc>
        <w:tc>
          <w:tcPr>
            <w:tcW w:w="972" w:type="dxa"/>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7.52×10</w:t>
            </w:r>
            <w:r>
              <w:rPr>
                <w:rFonts w:hint="eastAsia"/>
                <w:bCs/>
                <w:sz w:val="24"/>
                <w:szCs w:val="24"/>
                <w:vertAlign w:val="superscript"/>
              </w:rPr>
              <w:t>-2</w:t>
            </w:r>
          </w:p>
        </w:tc>
        <w:tc>
          <w:tcPr>
            <w:tcW w:w="972" w:type="dxa"/>
            <w:gridSpan w:val="2"/>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9.34×10</w:t>
            </w:r>
            <w:r>
              <w:rPr>
                <w:rFonts w:hint="eastAsia"/>
                <w:bCs/>
                <w:sz w:val="24"/>
                <w:szCs w:val="24"/>
                <w:vertAlign w:val="superscript"/>
              </w:rPr>
              <w:t>-2</w:t>
            </w:r>
          </w:p>
        </w:tc>
        <w:tc>
          <w:tcPr>
            <w:tcW w:w="972" w:type="dxa"/>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9.37×10</w:t>
            </w:r>
            <w:r>
              <w:rPr>
                <w:rFonts w:hint="eastAsia"/>
                <w:bCs/>
                <w:sz w:val="24"/>
                <w:szCs w:val="24"/>
                <w:vertAlign w:val="superscript"/>
              </w:rPr>
              <w:t>-2</w:t>
            </w:r>
          </w:p>
        </w:tc>
        <w:tc>
          <w:tcPr>
            <w:tcW w:w="974" w:type="dxa"/>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7.46×10</w:t>
            </w:r>
            <w:r>
              <w:rPr>
                <w:rFonts w:hint="eastAsia"/>
                <w:bCs/>
                <w:sz w:val="24"/>
                <w:szCs w:val="24"/>
                <w:vertAlign w:val="superscript"/>
              </w:rPr>
              <w:t>-2</w:t>
            </w:r>
          </w:p>
        </w:tc>
        <w:tc>
          <w:tcPr>
            <w:tcW w:w="669" w:type="dxa"/>
            <w:vMerge w:val="restart"/>
            <w:shd w:val="clear" w:color="auto" w:fill="auto"/>
            <w:noWrap w:val="0"/>
            <w:vAlign w:val="center"/>
          </w:tcPr>
          <w:p>
            <w:pPr>
              <w:spacing w:line="276" w:lineRule="auto"/>
              <w:ind w:left="0" w:leftChars="0" w:firstLine="0" w:firstLineChars="0"/>
              <w:jc w:val="center"/>
              <w:rPr>
                <w:rFonts w:hint="eastAsia"/>
                <w:bCs/>
              </w:rPr>
            </w:pPr>
            <w:r>
              <w:rPr>
                <w:rFonts w:hint="eastAsia"/>
                <w:bC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251" w:type="dxa"/>
            <w:vMerge w:val="continue"/>
            <w:shd w:val="clear" w:color="auto" w:fill="auto"/>
            <w:noWrap w:val="0"/>
            <w:vAlign w:val="center"/>
          </w:tcPr>
          <w:p>
            <w:pPr>
              <w:spacing w:line="276" w:lineRule="auto"/>
              <w:ind w:left="0" w:leftChars="0" w:firstLine="0" w:firstLineChars="0"/>
              <w:jc w:val="center"/>
              <w:rPr>
                <w:rFonts w:hint="eastAsia"/>
                <w:bCs/>
              </w:rPr>
            </w:pPr>
          </w:p>
        </w:tc>
        <w:tc>
          <w:tcPr>
            <w:tcW w:w="700" w:type="dxa"/>
            <w:vMerge w:val="continue"/>
            <w:shd w:val="clear" w:color="auto" w:fill="auto"/>
            <w:noWrap w:val="0"/>
            <w:vAlign w:val="center"/>
          </w:tcPr>
          <w:p>
            <w:pPr>
              <w:spacing w:line="276" w:lineRule="auto"/>
              <w:ind w:left="0" w:leftChars="0" w:firstLine="0" w:firstLineChars="0"/>
              <w:jc w:val="center"/>
              <w:rPr>
                <w:rFonts w:hint="eastAsia"/>
                <w:bCs/>
              </w:rPr>
            </w:pPr>
          </w:p>
        </w:tc>
        <w:tc>
          <w:tcPr>
            <w:tcW w:w="1400" w:type="dxa"/>
            <w:shd w:val="clear" w:color="auto" w:fill="auto"/>
            <w:noWrap w:val="0"/>
            <w:vAlign w:val="center"/>
          </w:tcPr>
          <w:p>
            <w:pPr>
              <w:spacing w:line="240" w:lineRule="auto"/>
              <w:ind w:left="0" w:leftChars="0" w:firstLine="0" w:firstLineChars="0"/>
              <w:jc w:val="center"/>
              <w:rPr>
                <w:rFonts w:hint="eastAsia"/>
                <w:bCs/>
              </w:rPr>
            </w:pPr>
            <w:r>
              <w:rPr>
                <w:rFonts w:hint="eastAsia"/>
                <w:bCs/>
              </w:rPr>
              <w:t>1</w:t>
            </w:r>
          </w:p>
          <w:p>
            <w:pPr>
              <w:spacing w:line="240" w:lineRule="auto"/>
              <w:ind w:left="0" w:leftChars="0" w:firstLine="0" w:firstLineChars="0"/>
              <w:jc w:val="center"/>
              <w:rPr>
                <w:rFonts w:hint="eastAsia"/>
                <w:bCs/>
              </w:rPr>
            </w:pPr>
            <w:r>
              <w:rPr>
                <w:rFonts w:hint="eastAsia"/>
                <w:bCs/>
              </w:rPr>
              <w:t>（下风向）</w:t>
            </w:r>
          </w:p>
        </w:tc>
        <w:tc>
          <w:tcPr>
            <w:tcW w:w="972" w:type="dxa"/>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0.114</w:t>
            </w:r>
          </w:p>
        </w:tc>
        <w:tc>
          <w:tcPr>
            <w:tcW w:w="972" w:type="dxa"/>
            <w:gridSpan w:val="2"/>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0.131</w:t>
            </w:r>
          </w:p>
        </w:tc>
        <w:tc>
          <w:tcPr>
            <w:tcW w:w="972" w:type="dxa"/>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0.113</w:t>
            </w:r>
          </w:p>
        </w:tc>
        <w:tc>
          <w:tcPr>
            <w:tcW w:w="972" w:type="dxa"/>
            <w:gridSpan w:val="2"/>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0.113</w:t>
            </w:r>
          </w:p>
        </w:tc>
        <w:tc>
          <w:tcPr>
            <w:tcW w:w="972" w:type="dxa"/>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0.131</w:t>
            </w:r>
          </w:p>
        </w:tc>
        <w:tc>
          <w:tcPr>
            <w:tcW w:w="974" w:type="dxa"/>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9.34×10</w:t>
            </w:r>
            <w:r>
              <w:rPr>
                <w:rFonts w:hint="eastAsia"/>
                <w:bCs/>
                <w:sz w:val="24"/>
                <w:szCs w:val="24"/>
                <w:vertAlign w:val="superscript"/>
              </w:rPr>
              <w:t>-2</w:t>
            </w:r>
          </w:p>
        </w:tc>
        <w:tc>
          <w:tcPr>
            <w:tcW w:w="669" w:type="dxa"/>
            <w:vMerge w:val="continue"/>
            <w:shd w:val="clear" w:color="auto" w:fill="auto"/>
            <w:noWrap w:val="0"/>
            <w:vAlign w:val="center"/>
          </w:tcPr>
          <w:p>
            <w:pPr>
              <w:spacing w:line="276" w:lineRule="auto"/>
              <w:ind w:left="0" w:leftChars="0" w:firstLine="0" w:firstLineChars="0"/>
              <w:jc w:val="center"/>
              <w:rPr>
                <w:rFonts w:hint="eastAsia"/>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251" w:type="dxa"/>
            <w:vMerge w:val="continue"/>
            <w:shd w:val="clear" w:color="auto" w:fill="auto"/>
            <w:noWrap w:val="0"/>
            <w:vAlign w:val="center"/>
          </w:tcPr>
          <w:p>
            <w:pPr>
              <w:spacing w:line="276" w:lineRule="auto"/>
              <w:ind w:left="0" w:leftChars="0" w:firstLine="0" w:firstLineChars="0"/>
              <w:jc w:val="center"/>
              <w:rPr>
                <w:rFonts w:hint="eastAsia"/>
                <w:bCs/>
              </w:rPr>
            </w:pPr>
          </w:p>
        </w:tc>
        <w:tc>
          <w:tcPr>
            <w:tcW w:w="700" w:type="dxa"/>
            <w:vMerge w:val="continue"/>
            <w:shd w:val="clear" w:color="auto" w:fill="auto"/>
            <w:noWrap w:val="0"/>
            <w:vAlign w:val="center"/>
          </w:tcPr>
          <w:p>
            <w:pPr>
              <w:spacing w:line="276" w:lineRule="auto"/>
              <w:ind w:left="0" w:leftChars="0" w:firstLine="0" w:firstLineChars="0"/>
              <w:jc w:val="center"/>
              <w:rPr>
                <w:rFonts w:hint="eastAsia"/>
                <w:bCs/>
              </w:rPr>
            </w:pPr>
          </w:p>
        </w:tc>
        <w:tc>
          <w:tcPr>
            <w:tcW w:w="1400" w:type="dxa"/>
            <w:shd w:val="clear" w:color="auto" w:fill="auto"/>
            <w:noWrap w:val="0"/>
            <w:vAlign w:val="center"/>
          </w:tcPr>
          <w:p>
            <w:pPr>
              <w:spacing w:line="240" w:lineRule="auto"/>
              <w:ind w:left="0" w:leftChars="0" w:firstLine="0" w:firstLineChars="0"/>
              <w:jc w:val="center"/>
              <w:rPr>
                <w:rFonts w:hint="eastAsia"/>
                <w:bCs/>
              </w:rPr>
            </w:pPr>
            <w:r>
              <w:rPr>
                <w:rFonts w:hint="eastAsia"/>
                <w:bCs/>
              </w:rPr>
              <w:t>2</w:t>
            </w:r>
          </w:p>
          <w:p>
            <w:pPr>
              <w:spacing w:line="240" w:lineRule="auto"/>
              <w:ind w:left="0" w:leftChars="0" w:firstLine="0" w:firstLineChars="0"/>
              <w:jc w:val="center"/>
              <w:rPr>
                <w:rFonts w:hint="eastAsia"/>
                <w:bCs/>
              </w:rPr>
            </w:pPr>
            <w:r>
              <w:rPr>
                <w:rFonts w:hint="eastAsia"/>
                <w:bCs/>
              </w:rPr>
              <w:t>（下风向）</w:t>
            </w:r>
          </w:p>
        </w:tc>
        <w:tc>
          <w:tcPr>
            <w:tcW w:w="972" w:type="dxa"/>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9.48×10</w:t>
            </w:r>
            <w:r>
              <w:rPr>
                <w:rFonts w:hint="eastAsia"/>
                <w:bCs/>
                <w:sz w:val="24"/>
                <w:szCs w:val="24"/>
                <w:vertAlign w:val="superscript"/>
              </w:rPr>
              <w:t>-2</w:t>
            </w:r>
          </w:p>
        </w:tc>
        <w:tc>
          <w:tcPr>
            <w:tcW w:w="972" w:type="dxa"/>
            <w:gridSpan w:val="2"/>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9.35×10</w:t>
            </w:r>
            <w:r>
              <w:rPr>
                <w:rFonts w:hint="eastAsia"/>
                <w:bCs/>
                <w:sz w:val="24"/>
                <w:szCs w:val="24"/>
                <w:vertAlign w:val="superscript"/>
              </w:rPr>
              <w:t>-2</w:t>
            </w:r>
          </w:p>
        </w:tc>
        <w:tc>
          <w:tcPr>
            <w:tcW w:w="972" w:type="dxa"/>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0.131</w:t>
            </w:r>
          </w:p>
        </w:tc>
        <w:tc>
          <w:tcPr>
            <w:tcW w:w="972" w:type="dxa"/>
            <w:gridSpan w:val="2"/>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7.58×10</w:t>
            </w:r>
            <w:r>
              <w:rPr>
                <w:rFonts w:hint="eastAsia"/>
                <w:bCs/>
                <w:sz w:val="24"/>
                <w:szCs w:val="24"/>
                <w:vertAlign w:val="superscript"/>
              </w:rPr>
              <w:t>-2</w:t>
            </w:r>
          </w:p>
        </w:tc>
        <w:tc>
          <w:tcPr>
            <w:tcW w:w="972" w:type="dxa"/>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0.131</w:t>
            </w:r>
          </w:p>
        </w:tc>
        <w:tc>
          <w:tcPr>
            <w:tcW w:w="974" w:type="dxa"/>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9.36×10</w:t>
            </w:r>
            <w:r>
              <w:rPr>
                <w:rFonts w:hint="eastAsia"/>
                <w:bCs/>
                <w:sz w:val="24"/>
                <w:szCs w:val="24"/>
                <w:vertAlign w:val="superscript"/>
              </w:rPr>
              <w:t>-2</w:t>
            </w:r>
          </w:p>
        </w:tc>
        <w:tc>
          <w:tcPr>
            <w:tcW w:w="669" w:type="dxa"/>
            <w:vMerge w:val="continue"/>
            <w:shd w:val="clear" w:color="auto" w:fill="auto"/>
            <w:noWrap w:val="0"/>
            <w:vAlign w:val="center"/>
          </w:tcPr>
          <w:p>
            <w:pPr>
              <w:spacing w:line="276" w:lineRule="auto"/>
              <w:ind w:left="0" w:leftChars="0" w:firstLine="0" w:firstLineChars="0"/>
              <w:jc w:val="center"/>
              <w:rPr>
                <w:rFonts w:hint="eastAsia"/>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251" w:type="dxa"/>
            <w:vMerge w:val="continue"/>
            <w:shd w:val="clear" w:color="auto" w:fill="auto"/>
            <w:noWrap w:val="0"/>
            <w:vAlign w:val="center"/>
          </w:tcPr>
          <w:p>
            <w:pPr>
              <w:spacing w:line="276" w:lineRule="auto"/>
              <w:ind w:left="0" w:leftChars="0" w:firstLine="0" w:firstLineChars="0"/>
              <w:jc w:val="center"/>
              <w:rPr>
                <w:rFonts w:hint="eastAsia"/>
                <w:bCs/>
              </w:rPr>
            </w:pPr>
          </w:p>
        </w:tc>
        <w:tc>
          <w:tcPr>
            <w:tcW w:w="700" w:type="dxa"/>
            <w:vMerge w:val="continue"/>
            <w:shd w:val="clear" w:color="auto" w:fill="auto"/>
            <w:noWrap w:val="0"/>
            <w:vAlign w:val="center"/>
          </w:tcPr>
          <w:p>
            <w:pPr>
              <w:spacing w:line="276" w:lineRule="auto"/>
              <w:ind w:left="0" w:leftChars="0" w:firstLine="0" w:firstLineChars="0"/>
              <w:jc w:val="center"/>
              <w:rPr>
                <w:rFonts w:hint="eastAsia"/>
                <w:bCs/>
              </w:rPr>
            </w:pPr>
          </w:p>
        </w:tc>
        <w:tc>
          <w:tcPr>
            <w:tcW w:w="1400" w:type="dxa"/>
            <w:shd w:val="clear" w:color="auto" w:fill="auto"/>
            <w:noWrap w:val="0"/>
            <w:vAlign w:val="center"/>
          </w:tcPr>
          <w:p>
            <w:pPr>
              <w:spacing w:line="240" w:lineRule="auto"/>
              <w:ind w:left="0" w:leftChars="0" w:firstLine="0" w:firstLineChars="0"/>
              <w:jc w:val="center"/>
              <w:rPr>
                <w:rFonts w:hint="eastAsia"/>
                <w:bCs/>
              </w:rPr>
            </w:pPr>
            <w:r>
              <w:rPr>
                <w:rFonts w:hint="eastAsia"/>
                <w:bCs/>
              </w:rPr>
              <w:t>3</w:t>
            </w:r>
          </w:p>
          <w:p>
            <w:pPr>
              <w:spacing w:line="240" w:lineRule="auto"/>
              <w:ind w:left="0" w:leftChars="0" w:firstLine="0" w:firstLineChars="0"/>
              <w:jc w:val="center"/>
              <w:rPr>
                <w:rFonts w:hint="eastAsia"/>
                <w:bCs/>
              </w:rPr>
            </w:pPr>
            <w:r>
              <w:rPr>
                <w:rFonts w:hint="eastAsia"/>
                <w:bCs/>
              </w:rPr>
              <w:t>（下风向）</w:t>
            </w:r>
          </w:p>
        </w:tc>
        <w:tc>
          <w:tcPr>
            <w:tcW w:w="972" w:type="dxa"/>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9.44×10</w:t>
            </w:r>
            <w:r>
              <w:rPr>
                <w:rFonts w:hint="eastAsia"/>
                <w:bCs/>
                <w:sz w:val="24"/>
                <w:szCs w:val="24"/>
                <w:vertAlign w:val="superscript"/>
              </w:rPr>
              <w:t>-2</w:t>
            </w:r>
          </w:p>
        </w:tc>
        <w:tc>
          <w:tcPr>
            <w:tcW w:w="972" w:type="dxa"/>
            <w:gridSpan w:val="2"/>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7.48×10</w:t>
            </w:r>
            <w:r>
              <w:rPr>
                <w:rFonts w:hint="eastAsia"/>
                <w:bCs/>
                <w:sz w:val="24"/>
                <w:szCs w:val="24"/>
                <w:vertAlign w:val="superscript"/>
              </w:rPr>
              <w:t>-2</w:t>
            </w:r>
          </w:p>
        </w:tc>
        <w:tc>
          <w:tcPr>
            <w:tcW w:w="972" w:type="dxa"/>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7.44×10</w:t>
            </w:r>
            <w:r>
              <w:rPr>
                <w:rFonts w:hint="eastAsia"/>
                <w:bCs/>
                <w:sz w:val="24"/>
                <w:szCs w:val="24"/>
                <w:vertAlign w:val="superscript"/>
              </w:rPr>
              <w:t>-2</w:t>
            </w:r>
          </w:p>
        </w:tc>
        <w:tc>
          <w:tcPr>
            <w:tcW w:w="972" w:type="dxa"/>
            <w:gridSpan w:val="2"/>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5.66×10</w:t>
            </w:r>
            <w:r>
              <w:rPr>
                <w:rFonts w:hint="eastAsia"/>
                <w:bCs/>
                <w:sz w:val="24"/>
                <w:szCs w:val="24"/>
                <w:vertAlign w:val="superscript"/>
              </w:rPr>
              <w:t>-2</w:t>
            </w:r>
          </w:p>
        </w:tc>
        <w:tc>
          <w:tcPr>
            <w:tcW w:w="972" w:type="dxa"/>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9.32×10</w:t>
            </w:r>
            <w:r>
              <w:rPr>
                <w:rFonts w:hint="eastAsia"/>
                <w:bCs/>
                <w:sz w:val="24"/>
                <w:szCs w:val="24"/>
                <w:vertAlign w:val="superscript"/>
              </w:rPr>
              <w:t>-2</w:t>
            </w:r>
          </w:p>
        </w:tc>
        <w:tc>
          <w:tcPr>
            <w:tcW w:w="974" w:type="dxa"/>
            <w:shd w:val="clear" w:color="auto" w:fill="auto"/>
            <w:noWrap w:val="0"/>
            <w:vAlign w:val="center"/>
          </w:tcPr>
          <w:p>
            <w:pPr>
              <w:spacing w:line="240" w:lineRule="auto"/>
              <w:ind w:left="0" w:leftChars="0" w:firstLine="0" w:firstLineChars="0"/>
              <w:jc w:val="center"/>
              <w:rPr>
                <w:rFonts w:hint="eastAsia"/>
                <w:bCs/>
                <w:sz w:val="24"/>
                <w:szCs w:val="24"/>
              </w:rPr>
            </w:pPr>
            <w:r>
              <w:rPr>
                <w:rFonts w:hint="eastAsia"/>
                <w:bCs/>
                <w:sz w:val="24"/>
                <w:szCs w:val="24"/>
              </w:rPr>
              <w:t>0.112</w:t>
            </w:r>
          </w:p>
        </w:tc>
        <w:tc>
          <w:tcPr>
            <w:tcW w:w="669" w:type="dxa"/>
            <w:vMerge w:val="continue"/>
            <w:shd w:val="clear" w:color="auto" w:fill="auto"/>
            <w:noWrap w:val="0"/>
            <w:vAlign w:val="center"/>
          </w:tcPr>
          <w:p>
            <w:pPr>
              <w:spacing w:line="276" w:lineRule="auto"/>
              <w:ind w:left="0" w:leftChars="0" w:firstLine="0" w:firstLineChars="0"/>
              <w:jc w:val="center"/>
              <w:rPr>
                <w:rFonts w:hint="eastAsia"/>
                <w:bCs/>
                <w:sz w:val="24"/>
              </w:rPr>
            </w:pPr>
          </w:p>
        </w:tc>
      </w:tr>
    </w:tbl>
    <w:p>
      <w:pPr>
        <w:pStyle w:val="2"/>
        <w:spacing w:line="360" w:lineRule="auto"/>
        <w:jc w:val="center"/>
        <w:rPr>
          <w:rFonts w:hint="eastAsia" w:ascii="黑体" w:hAnsi="黑体" w:eastAsia="黑体" w:cs="黑体"/>
          <w:b w:val="0"/>
          <w:bCs w:val="0"/>
          <w:color w:val="000000"/>
          <w:kern w:val="2"/>
          <w:sz w:val="24"/>
          <w:szCs w:val="24"/>
          <w:lang w:val="en-US" w:eastAsia="zh-CN" w:bidi="ar-SA"/>
        </w:rPr>
      </w:pPr>
      <w:r>
        <w:rPr>
          <w:rFonts w:hint="eastAsia" w:ascii="黑体" w:hAnsi="黑体" w:eastAsia="黑体" w:cs="黑体"/>
          <w:b w:val="0"/>
          <w:bCs w:val="0"/>
          <w:color w:val="000000"/>
          <w:kern w:val="2"/>
          <w:sz w:val="24"/>
          <w:szCs w:val="24"/>
          <w:lang w:val="en-US" w:eastAsia="zh-CN" w:bidi="ar-SA"/>
        </w:rPr>
        <w:t>表10.2-</w:t>
      </w:r>
      <w:r>
        <w:rPr>
          <w:rFonts w:hint="eastAsia" w:eastAsia="黑体" w:cs="黑体"/>
          <w:b w:val="0"/>
          <w:bCs w:val="0"/>
          <w:color w:val="000000"/>
          <w:kern w:val="2"/>
          <w:sz w:val="24"/>
          <w:szCs w:val="24"/>
          <w:lang w:val="en-US" w:eastAsia="zh-CN" w:bidi="ar-SA"/>
        </w:rPr>
        <w:t>3</w:t>
      </w:r>
      <w:r>
        <w:rPr>
          <w:rFonts w:hint="eastAsia" w:ascii="黑体" w:hAnsi="黑体" w:eastAsia="黑体" w:cs="黑体"/>
          <w:b w:val="0"/>
          <w:bCs w:val="0"/>
          <w:color w:val="000000"/>
          <w:kern w:val="2"/>
          <w:sz w:val="24"/>
          <w:szCs w:val="24"/>
          <w:lang w:val="en-US" w:eastAsia="zh-CN" w:bidi="ar-SA"/>
        </w:rPr>
        <w:t xml:space="preserve">  无组织有机废气排放检测结果</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2227"/>
        <w:gridCol w:w="886"/>
        <w:gridCol w:w="886"/>
        <w:gridCol w:w="900"/>
        <w:gridCol w:w="900"/>
        <w:gridCol w:w="900"/>
        <w:gridCol w:w="90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4538" w:type="dxa"/>
            <w:gridSpan w:val="3"/>
            <w:shd w:val="clear" w:color="auto" w:fill="auto"/>
            <w:noWrap w:val="0"/>
            <w:vAlign w:val="top"/>
          </w:tcPr>
          <w:p>
            <w:pPr>
              <w:bidi w:val="0"/>
              <w:ind w:left="0" w:leftChars="0" w:firstLine="0" w:firstLineChars="0"/>
              <w:rPr>
                <w:rFonts w:hint="eastAsia"/>
                <w:b/>
                <w:bCs/>
              </w:rPr>
            </w:pPr>
            <w:r>
              <w:rPr>
                <w:rFonts w:hint="eastAsia"/>
                <w:b/>
                <w:bCs/>
              </w:rPr>
              <w:t>执行标准：</w:t>
            </w:r>
          </w:p>
          <w:p>
            <w:pPr>
              <w:bidi w:val="0"/>
              <w:ind w:left="0" w:leftChars="0" w:firstLine="0" w:firstLineChars="0"/>
              <w:rPr>
                <w:rFonts w:hint="eastAsia"/>
              </w:rPr>
            </w:pPr>
            <w:bookmarkStart w:id="252" w:name="_Hlk44747086"/>
            <w:r>
              <w:rPr>
                <w:rFonts w:hint="eastAsia"/>
              </w:rPr>
              <w:t>广东省地方标准《表面涂装（汽车制造业）挥发性有机化合物排放标准》（DB44/816-2010）中表3无组织排放监控点VOCs浓度限值所规定的污染物项目甲苯、二甲苯和总VOCs的浓度限值</w:t>
            </w:r>
            <w:bookmarkEnd w:id="252"/>
            <w:r>
              <w:rPr>
                <w:rFonts w:hint="eastAsia"/>
              </w:rPr>
              <w:t>。</w:t>
            </w:r>
          </w:p>
        </w:tc>
        <w:tc>
          <w:tcPr>
            <w:tcW w:w="5424" w:type="dxa"/>
            <w:gridSpan w:val="6"/>
            <w:shd w:val="clear" w:color="auto" w:fill="auto"/>
            <w:noWrap w:val="0"/>
            <w:vAlign w:val="top"/>
          </w:tcPr>
          <w:p>
            <w:pPr>
              <w:spacing w:line="480" w:lineRule="auto"/>
              <w:ind w:left="0" w:leftChars="0" w:firstLine="0" w:firstLineChars="0"/>
              <w:jc w:val="center"/>
              <w:rPr>
                <w:bCs/>
              </w:rPr>
            </w:pPr>
            <w:r>
              <w:rPr>
                <w:bCs/>
              </w:rPr>
              <w:drawing>
                <wp:inline distT="0" distB="0" distL="114300" distR="114300">
                  <wp:extent cx="2675890" cy="1181100"/>
                  <wp:effectExtent l="0" t="0" r="10160" b="0"/>
                  <wp:docPr id="3" name="图片 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无标题"/>
                          <pic:cNvPicPr>
                            <a:picLocks noChangeAspect="1"/>
                          </pic:cNvPicPr>
                        </pic:nvPicPr>
                        <pic:blipFill>
                          <a:blip r:embed="rId8"/>
                          <a:stretch>
                            <a:fillRect/>
                          </a:stretch>
                        </pic:blipFill>
                        <pic:spPr>
                          <a:xfrm>
                            <a:off x="0" y="0"/>
                            <a:ext cx="2675890" cy="1181100"/>
                          </a:xfrm>
                          <a:prstGeom prst="rect">
                            <a:avLst/>
                          </a:prstGeom>
                          <a:noFill/>
                          <a:ln>
                            <a:noFill/>
                          </a:ln>
                        </pic:spPr>
                      </pic:pic>
                    </a:graphicData>
                  </a:graphic>
                </wp:inline>
              </w:drawing>
            </w:r>
          </w:p>
          <w:p>
            <w:pPr>
              <w:spacing w:line="480" w:lineRule="auto"/>
              <w:ind w:left="0" w:leftChars="0" w:firstLine="0" w:firstLineChars="0"/>
              <w:jc w:val="center"/>
              <w:rPr>
                <w:rFonts w:hint="eastAsia"/>
                <w:bCs/>
                <w:color w:val="FF0000"/>
              </w:rPr>
            </w:pPr>
            <w:r>
              <w:rPr>
                <w:rFonts w:hint="eastAsia"/>
                <w:b/>
                <w:bCs/>
              </w:rPr>
              <w:t>检测点位示意图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425" w:type="dxa"/>
            <w:vMerge w:val="restart"/>
            <w:shd w:val="clear" w:color="auto" w:fill="auto"/>
            <w:noWrap w:val="0"/>
            <w:vAlign w:val="center"/>
          </w:tcPr>
          <w:p>
            <w:pPr>
              <w:ind w:left="0" w:leftChars="0" w:firstLine="0" w:firstLineChars="0"/>
              <w:jc w:val="center"/>
              <w:rPr>
                <w:rFonts w:hint="eastAsia"/>
                <w:bCs/>
                <w:szCs w:val="21"/>
              </w:rPr>
            </w:pPr>
            <w:r>
              <w:rPr>
                <w:rFonts w:hint="eastAsia"/>
                <w:bCs/>
                <w:szCs w:val="21"/>
              </w:rPr>
              <w:t>分析项目</w:t>
            </w:r>
          </w:p>
        </w:tc>
        <w:tc>
          <w:tcPr>
            <w:tcW w:w="2227" w:type="dxa"/>
            <w:vMerge w:val="restart"/>
            <w:shd w:val="clear" w:color="auto" w:fill="auto"/>
            <w:noWrap w:val="0"/>
            <w:vAlign w:val="center"/>
          </w:tcPr>
          <w:p>
            <w:pPr>
              <w:ind w:left="1260" w:hanging="1440" w:hangingChars="600"/>
              <w:jc w:val="left"/>
              <w:rPr>
                <w:rFonts w:hint="eastAsia"/>
                <w:bCs/>
              </w:rPr>
            </w:pPr>
            <w:r>
              <w:rPr>
                <w:rFonts w:hint="eastAsia"/>
                <w:bCs/>
                <w:szCs w:val="21"/>
              </w:rPr>
              <mc:AlternateContent>
                <mc:Choice Requires="wps">
                  <w:drawing>
                    <wp:anchor distT="0" distB="0" distL="114300" distR="114300" simplePos="0" relativeHeight="252384256" behindDoc="0" locked="0" layoutInCell="1" allowOverlap="1">
                      <wp:simplePos x="0" y="0"/>
                      <wp:positionH relativeFrom="column">
                        <wp:posOffset>-67310</wp:posOffset>
                      </wp:positionH>
                      <wp:positionV relativeFrom="paragraph">
                        <wp:posOffset>-3810</wp:posOffset>
                      </wp:positionV>
                      <wp:extent cx="1385570" cy="1186815"/>
                      <wp:effectExtent l="3175" t="3810" r="20955" b="9525"/>
                      <wp:wrapNone/>
                      <wp:docPr id="4" name="直接箭头连接符 4"/>
                      <wp:cNvGraphicFramePr/>
                      <a:graphic xmlns:a="http://schemas.openxmlformats.org/drawingml/2006/main">
                        <a:graphicData uri="http://schemas.microsoft.com/office/word/2010/wordprocessingShape">
                          <wps:wsp>
                            <wps:cNvCnPr/>
                            <wps:spPr>
                              <a:xfrm>
                                <a:off x="0" y="0"/>
                                <a:ext cx="1385570" cy="118681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3pt;margin-top:-0.3pt;height:93.45pt;width:109.1pt;z-index:252384256;mso-width-relative:page;mso-height-relative:page;" filled="f" stroked="t" coordsize="21600,21600" o:gfxdata="UEsDBAoAAAAAAIdO4kAAAAAAAAAAAAAAAAAEAAAAZHJzL1BLAwQUAAAACACHTuJAMI30J9cAAAAJ&#10;AQAADwAAAGRycy9kb3ducmV2LnhtbE2PQU/DMAyF70j8h8hIXNCWtIgyuqbTNIkDR7ZJXLPGa7s1&#10;TtWk69ivx5zg5Ge9p+fPxerqOnHBIbSeNCRzBQKp8ralWsN+9z5bgAjRkDWdJ9TwjQFW5f1dYXLr&#10;J/rEyzbWgkso5EZDE2OfSxmqBp0Jc98jsXf0gzOR16GWdjATl7tOpkpl0pmW+EJjetw0WJ23o9OA&#10;YXxJ1PrN1fuP2/T0ld5OU7/T+vEhUUsQEa/xLwy/+IwOJTMd/Eg2iE7DLFEZR1nwYD9VrywOHFxk&#10;zyDLQv7/oPwBUEsDBBQAAAAIAIdO4kDMRj0t5wEAAKQDAAAOAAAAZHJzL2Uyb0RvYy54bWytU0uO&#10;EzEQ3SNxB8t70ukwGUIrnVkkDBsEkYADVPzptuSfbJNOLsEFkFgBK4bV7DkNDMeg7IQMnw1C9MJd&#10;dtWrqvdcnl/sjCZbEaJytqX1aEyJsMxxZbuWvnxxeW9GSUxgOWhnRUv3ItKLxd0788E3YuJ6p7kI&#10;BJPY2Ay+pX1KvqmqyHphII6cFxad0gUDCbehq3iAAbMbXU3G4/NqcIH74JiIEU9XByddlPxSCpae&#10;SRlFIrql2FsqayjrJq/VYg5NF8D3ih3bgH/owoCyWPSUagUJyKug/khlFAsuOplGzJnKSamYKByQ&#10;TT3+jc3zHrwoXFCc6E8yxf+Xlj3drgNRvKVnlFgweEU3b66/vn5/8+nqy7vrb5/fZvvjB3KWpRp8&#10;bBCxtOtw3EW/Dpn3TgaT/8iI7Iq8+5O8YpcIw8P6/mw6fYC3wNBX17PzWT3NWatbuA8xPRbOkGy0&#10;NKYAquvT0lmLV+lCXUSG7ZOYDsAfgFxbWzK09OF0MsUSgMMkNSQ0jUd60XYFG51W/FJpnRExdJul&#10;DmQLeTzKd2zol7BcZAWxP8QVVw6DphfAH1lO0t6jcBYnnOYWjOCUaIEPIlslMoHSfxOJWmiLkmSl&#10;D9pma+P4vkheznEUimjHsc2z9vO+oG8f1+I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I30J9cA&#10;AAAJAQAADwAAAAAAAAABACAAAAAiAAAAZHJzL2Rvd25yZXYueG1sUEsBAhQAFAAAAAgAh07iQMxG&#10;PS3nAQAApAMAAA4AAAAAAAAAAQAgAAAAJgEAAGRycy9lMm9Eb2MueG1sUEsFBgAAAAAGAAYAWQEA&#10;AH8FAAAAAA==&#10;">
                      <v:fill on="f" focussize="0,0"/>
                      <v:stroke color="#000000" joinstyle="round"/>
                      <v:imagedata o:title=""/>
                      <o:lock v:ext="edit" aspectratio="f"/>
                    </v:shape>
                  </w:pict>
                </mc:Fallback>
              </mc:AlternateContent>
            </w:r>
            <w:r>
              <w:rPr>
                <w:rFonts w:hint="eastAsia"/>
                <w:bCs/>
              </w:rPr>
              <w:t xml:space="preserve"> </w:t>
            </w:r>
            <w:r>
              <w:rPr>
                <w:bCs/>
              </w:rPr>
              <w:t xml:space="preserve">      </w:t>
            </w:r>
            <w:r>
              <w:rPr>
                <w:rFonts w:hint="eastAsia"/>
                <w:bCs/>
              </w:rPr>
              <w:t>采样时间、频次</w:t>
            </w:r>
          </w:p>
          <w:p>
            <w:pPr>
              <w:jc w:val="left"/>
              <w:rPr>
                <w:bCs/>
              </w:rPr>
            </w:pPr>
          </w:p>
          <w:p>
            <w:pPr>
              <w:jc w:val="left"/>
              <w:rPr>
                <w:rFonts w:hint="eastAsia"/>
                <w:bCs/>
              </w:rPr>
            </w:pPr>
            <w:r>
              <w:rPr>
                <w:rFonts w:hint="eastAsia"/>
                <w:bCs/>
              </w:rPr>
              <w:t>检测点位</w:t>
            </w:r>
          </w:p>
        </w:tc>
        <w:tc>
          <w:tcPr>
            <w:tcW w:w="2672" w:type="dxa"/>
            <w:gridSpan w:val="3"/>
            <w:shd w:val="clear" w:color="auto" w:fill="auto"/>
            <w:noWrap w:val="0"/>
            <w:vAlign w:val="center"/>
          </w:tcPr>
          <w:p>
            <w:pPr>
              <w:ind w:left="0" w:leftChars="0" w:firstLine="0" w:firstLineChars="0"/>
              <w:jc w:val="center"/>
              <w:rPr>
                <w:rFonts w:hint="eastAsia"/>
                <w:bCs/>
                <w:szCs w:val="21"/>
              </w:rPr>
            </w:pPr>
            <w:r>
              <w:rPr>
                <w:rFonts w:hint="eastAsia"/>
                <w:bCs/>
                <w:szCs w:val="21"/>
              </w:rPr>
              <w:t>6月20日</w:t>
            </w:r>
          </w:p>
        </w:tc>
        <w:tc>
          <w:tcPr>
            <w:tcW w:w="2701" w:type="dxa"/>
            <w:gridSpan w:val="3"/>
            <w:shd w:val="clear" w:color="auto" w:fill="auto"/>
            <w:noWrap w:val="0"/>
            <w:vAlign w:val="center"/>
          </w:tcPr>
          <w:p>
            <w:pPr>
              <w:ind w:left="0" w:leftChars="0" w:firstLine="0" w:firstLineChars="0"/>
              <w:jc w:val="center"/>
              <w:rPr>
                <w:rFonts w:hint="eastAsia"/>
                <w:bCs/>
                <w:szCs w:val="21"/>
              </w:rPr>
            </w:pPr>
            <w:r>
              <w:rPr>
                <w:rFonts w:hint="eastAsia"/>
                <w:bCs/>
                <w:szCs w:val="21"/>
              </w:rPr>
              <w:t>6月22日</w:t>
            </w:r>
          </w:p>
        </w:tc>
        <w:tc>
          <w:tcPr>
            <w:tcW w:w="937" w:type="dxa"/>
            <w:vMerge w:val="restart"/>
            <w:shd w:val="clear" w:color="auto" w:fill="auto"/>
            <w:noWrap w:val="0"/>
            <w:vAlign w:val="center"/>
          </w:tcPr>
          <w:p>
            <w:pPr>
              <w:ind w:left="0" w:leftChars="0" w:firstLine="0" w:firstLineChars="0"/>
              <w:jc w:val="center"/>
              <w:rPr>
                <w:rFonts w:hint="eastAsia"/>
                <w:bCs/>
                <w:szCs w:val="21"/>
              </w:rPr>
            </w:pPr>
            <w:r>
              <w:rPr>
                <w:rFonts w:hint="eastAsia"/>
                <w:bCs/>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25" w:type="dxa"/>
            <w:vMerge w:val="continue"/>
            <w:shd w:val="clear" w:color="auto" w:fill="auto"/>
            <w:noWrap w:val="0"/>
            <w:vAlign w:val="center"/>
          </w:tcPr>
          <w:p>
            <w:pPr>
              <w:spacing w:line="360" w:lineRule="auto"/>
              <w:jc w:val="center"/>
              <w:rPr>
                <w:rFonts w:hint="eastAsia"/>
                <w:bCs/>
              </w:rPr>
            </w:pPr>
          </w:p>
        </w:tc>
        <w:tc>
          <w:tcPr>
            <w:tcW w:w="2227" w:type="dxa"/>
            <w:vMerge w:val="continue"/>
            <w:shd w:val="clear" w:color="auto" w:fill="auto"/>
            <w:noWrap w:val="0"/>
            <w:vAlign w:val="center"/>
          </w:tcPr>
          <w:p>
            <w:pPr>
              <w:ind w:left="1260" w:hanging="1440" w:hangingChars="600"/>
              <w:jc w:val="left"/>
              <w:rPr>
                <w:rFonts w:hint="eastAsia"/>
                <w:bCs/>
              </w:rPr>
            </w:pP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1</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2</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3</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1</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2</w:t>
            </w:r>
          </w:p>
        </w:tc>
        <w:tc>
          <w:tcPr>
            <w:tcW w:w="901" w:type="dxa"/>
            <w:shd w:val="clear" w:color="auto" w:fill="auto"/>
            <w:noWrap w:val="0"/>
            <w:vAlign w:val="center"/>
          </w:tcPr>
          <w:p>
            <w:pPr>
              <w:ind w:left="0" w:leftChars="0" w:firstLine="0" w:firstLineChars="0"/>
              <w:jc w:val="center"/>
              <w:rPr>
                <w:rFonts w:hint="eastAsia"/>
                <w:bCs/>
                <w:szCs w:val="21"/>
              </w:rPr>
            </w:pPr>
            <w:r>
              <w:rPr>
                <w:rFonts w:hint="eastAsia"/>
                <w:bCs/>
                <w:szCs w:val="21"/>
              </w:rPr>
              <w:t>3</w:t>
            </w:r>
          </w:p>
        </w:tc>
        <w:tc>
          <w:tcPr>
            <w:tcW w:w="937" w:type="dxa"/>
            <w:vMerge w:val="continue"/>
            <w:shd w:val="clear" w:color="auto" w:fill="auto"/>
            <w:noWrap w:val="0"/>
            <w:vAlign w:val="center"/>
          </w:tcPr>
          <w:p>
            <w:pPr>
              <w:ind w:left="0" w:leftChars="0" w:firstLine="0" w:firstLineChars="0"/>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425" w:type="dxa"/>
            <w:vMerge w:val="restart"/>
            <w:shd w:val="clear" w:color="auto" w:fill="auto"/>
            <w:noWrap w:val="0"/>
            <w:vAlign w:val="center"/>
          </w:tcPr>
          <w:p>
            <w:pPr>
              <w:ind w:left="0" w:leftChars="0" w:firstLine="0" w:firstLineChars="0"/>
              <w:jc w:val="center"/>
              <w:rPr>
                <w:rFonts w:hint="eastAsia"/>
                <w:bCs/>
                <w:szCs w:val="21"/>
              </w:rPr>
            </w:pPr>
            <w:r>
              <w:rPr>
                <w:rFonts w:hint="eastAsia"/>
                <w:bCs/>
                <w:szCs w:val="21"/>
              </w:rPr>
              <w:t>甲苯</w:t>
            </w:r>
          </w:p>
          <w:p>
            <w:pPr>
              <w:ind w:left="0" w:leftChars="0" w:firstLine="0" w:firstLineChars="0"/>
              <w:jc w:val="center"/>
              <w:rPr>
                <w:rFonts w:hint="eastAsia"/>
                <w:bCs/>
                <w:szCs w:val="21"/>
              </w:rPr>
            </w:pPr>
            <w:r>
              <w:rPr>
                <w:rFonts w:hint="eastAsia"/>
                <w:bCs/>
                <w:szCs w:val="21"/>
              </w:rPr>
              <w:t>（mg/m</w:t>
            </w:r>
            <w:r>
              <w:rPr>
                <w:rFonts w:hint="eastAsia"/>
                <w:bCs/>
                <w:szCs w:val="21"/>
                <w:vertAlign w:val="superscript"/>
              </w:rPr>
              <w:t>3</w:t>
            </w:r>
            <w:r>
              <w:rPr>
                <w:rFonts w:hint="eastAsia"/>
                <w:bCs/>
                <w:szCs w:val="21"/>
              </w:rPr>
              <w:t>）</w:t>
            </w:r>
          </w:p>
        </w:tc>
        <w:tc>
          <w:tcPr>
            <w:tcW w:w="2227" w:type="dxa"/>
            <w:shd w:val="clear" w:color="auto" w:fill="auto"/>
            <w:noWrap w:val="0"/>
            <w:vAlign w:val="center"/>
          </w:tcPr>
          <w:p>
            <w:pPr>
              <w:ind w:left="0" w:leftChars="0" w:firstLine="0" w:firstLineChars="0"/>
              <w:jc w:val="center"/>
              <w:rPr>
                <w:rFonts w:hint="eastAsia"/>
                <w:bCs/>
                <w:szCs w:val="21"/>
              </w:rPr>
            </w:pPr>
            <w:r>
              <w:rPr>
                <w:rFonts w:hint="eastAsia"/>
                <w:bCs/>
                <w:szCs w:val="21"/>
              </w:rPr>
              <w:t>上风向</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0.15</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0.08</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0.09</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0.07</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0.06</w:t>
            </w:r>
          </w:p>
        </w:tc>
        <w:tc>
          <w:tcPr>
            <w:tcW w:w="901" w:type="dxa"/>
            <w:shd w:val="clear" w:color="auto" w:fill="auto"/>
            <w:noWrap w:val="0"/>
            <w:vAlign w:val="center"/>
          </w:tcPr>
          <w:p>
            <w:pPr>
              <w:ind w:left="0" w:leftChars="0" w:firstLine="0" w:firstLineChars="0"/>
              <w:jc w:val="center"/>
              <w:rPr>
                <w:rFonts w:hint="eastAsia"/>
                <w:bCs/>
                <w:szCs w:val="21"/>
              </w:rPr>
            </w:pPr>
            <w:r>
              <w:rPr>
                <w:rFonts w:hint="eastAsia"/>
                <w:bCs/>
                <w:szCs w:val="21"/>
              </w:rPr>
              <w:t>0.08</w:t>
            </w:r>
          </w:p>
        </w:tc>
        <w:tc>
          <w:tcPr>
            <w:tcW w:w="937" w:type="dxa"/>
            <w:vMerge w:val="restart"/>
            <w:shd w:val="clear" w:color="auto" w:fill="auto"/>
            <w:noWrap w:val="0"/>
            <w:vAlign w:val="center"/>
          </w:tcPr>
          <w:p>
            <w:pPr>
              <w:pStyle w:val="2"/>
              <w:jc w:val="center"/>
              <w:rPr>
                <w:rFonts w:hint="default" w:ascii="Times New Roman" w:hAnsi="Times New Roman" w:cs="Times New Roman"/>
                <w:lang w:val="en-US" w:eastAsia="zh-CN"/>
              </w:rPr>
            </w:pPr>
            <w:r>
              <w:rPr>
                <w:rFonts w:hint="eastAsia" w:ascii="Times New Roman" w:hAnsi="Times New Roman" w:cs="Times New Roman"/>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425" w:type="dxa"/>
            <w:vMerge w:val="continue"/>
            <w:shd w:val="clear" w:color="auto" w:fill="auto"/>
            <w:noWrap w:val="0"/>
            <w:vAlign w:val="center"/>
          </w:tcPr>
          <w:p>
            <w:pPr>
              <w:ind w:left="0" w:leftChars="0" w:firstLine="0" w:firstLineChars="0"/>
              <w:jc w:val="center"/>
              <w:rPr>
                <w:rFonts w:hint="eastAsia"/>
                <w:bCs/>
                <w:szCs w:val="21"/>
              </w:rPr>
            </w:pPr>
          </w:p>
        </w:tc>
        <w:tc>
          <w:tcPr>
            <w:tcW w:w="2227" w:type="dxa"/>
            <w:shd w:val="clear" w:color="auto" w:fill="auto"/>
            <w:noWrap w:val="0"/>
            <w:vAlign w:val="center"/>
          </w:tcPr>
          <w:p>
            <w:pPr>
              <w:ind w:left="0" w:leftChars="0" w:firstLine="0" w:firstLineChars="0"/>
              <w:jc w:val="center"/>
              <w:rPr>
                <w:rFonts w:hint="eastAsia"/>
                <w:bCs/>
                <w:szCs w:val="21"/>
              </w:rPr>
            </w:pPr>
            <w:r>
              <w:rPr>
                <w:rFonts w:hint="eastAsia"/>
                <w:bCs/>
                <w:szCs w:val="21"/>
              </w:rPr>
              <w:t>1（下风向）</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0.18</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0.05</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0.16</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0.06</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0.11</w:t>
            </w:r>
          </w:p>
        </w:tc>
        <w:tc>
          <w:tcPr>
            <w:tcW w:w="901" w:type="dxa"/>
            <w:shd w:val="clear" w:color="auto" w:fill="auto"/>
            <w:noWrap w:val="0"/>
            <w:vAlign w:val="center"/>
          </w:tcPr>
          <w:p>
            <w:pPr>
              <w:ind w:left="0" w:leftChars="0" w:firstLine="0" w:firstLineChars="0"/>
              <w:jc w:val="center"/>
              <w:rPr>
                <w:rFonts w:hint="eastAsia"/>
                <w:bCs/>
                <w:szCs w:val="21"/>
              </w:rPr>
            </w:pPr>
            <w:r>
              <w:rPr>
                <w:rFonts w:hint="eastAsia"/>
                <w:bCs/>
                <w:szCs w:val="21"/>
              </w:rPr>
              <w:t>0.13</w:t>
            </w:r>
          </w:p>
        </w:tc>
        <w:tc>
          <w:tcPr>
            <w:tcW w:w="937" w:type="dxa"/>
            <w:vMerge w:val="continue"/>
            <w:shd w:val="clear" w:color="auto" w:fill="auto"/>
            <w:noWrap w:val="0"/>
            <w:vAlign w:val="center"/>
          </w:tcPr>
          <w:p>
            <w:pPr>
              <w:ind w:left="0" w:leftChars="0" w:firstLine="0" w:firstLineChars="0"/>
              <w:jc w:val="center"/>
              <w:rPr>
                <w:rFonts w:hint="default"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425" w:type="dxa"/>
            <w:vMerge w:val="continue"/>
            <w:shd w:val="clear" w:color="auto" w:fill="auto"/>
            <w:noWrap w:val="0"/>
            <w:vAlign w:val="center"/>
          </w:tcPr>
          <w:p>
            <w:pPr>
              <w:ind w:left="0" w:leftChars="0" w:firstLine="0" w:firstLineChars="0"/>
              <w:jc w:val="center"/>
              <w:rPr>
                <w:rFonts w:hint="eastAsia"/>
                <w:bCs/>
                <w:szCs w:val="21"/>
              </w:rPr>
            </w:pPr>
          </w:p>
        </w:tc>
        <w:tc>
          <w:tcPr>
            <w:tcW w:w="2227" w:type="dxa"/>
            <w:shd w:val="clear" w:color="auto" w:fill="auto"/>
            <w:noWrap w:val="0"/>
            <w:vAlign w:val="center"/>
          </w:tcPr>
          <w:p>
            <w:pPr>
              <w:ind w:left="0" w:leftChars="0" w:firstLine="0" w:firstLineChars="0"/>
              <w:jc w:val="center"/>
              <w:rPr>
                <w:rFonts w:hint="eastAsia"/>
                <w:bCs/>
                <w:szCs w:val="21"/>
              </w:rPr>
            </w:pPr>
            <w:r>
              <w:rPr>
                <w:rFonts w:hint="eastAsia"/>
                <w:bCs/>
                <w:szCs w:val="21"/>
              </w:rPr>
              <w:t>2（下风向）</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0.18</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0.03</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0.18</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0.05</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0.06</w:t>
            </w:r>
          </w:p>
        </w:tc>
        <w:tc>
          <w:tcPr>
            <w:tcW w:w="901" w:type="dxa"/>
            <w:shd w:val="clear" w:color="auto" w:fill="auto"/>
            <w:noWrap w:val="0"/>
            <w:vAlign w:val="center"/>
          </w:tcPr>
          <w:p>
            <w:pPr>
              <w:ind w:left="0" w:leftChars="0" w:firstLine="0" w:firstLineChars="0"/>
              <w:jc w:val="center"/>
              <w:rPr>
                <w:rFonts w:hint="eastAsia"/>
                <w:bCs/>
                <w:szCs w:val="21"/>
              </w:rPr>
            </w:pPr>
            <w:r>
              <w:rPr>
                <w:rFonts w:hint="eastAsia"/>
                <w:bCs/>
                <w:szCs w:val="21"/>
              </w:rPr>
              <w:t>0.12</w:t>
            </w:r>
          </w:p>
        </w:tc>
        <w:tc>
          <w:tcPr>
            <w:tcW w:w="937" w:type="dxa"/>
            <w:vMerge w:val="continue"/>
            <w:shd w:val="clear" w:color="auto" w:fill="auto"/>
            <w:noWrap w:val="0"/>
            <w:vAlign w:val="center"/>
          </w:tcPr>
          <w:p>
            <w:pPr>
              <w:pStyle w:val="2"/>
              <w:jc w:val="center"/>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425" w:type="dxa"/>
            <w:vMerge w:val="continue"/>
            <w:shd w:val="clear" w:color="auto" w:fill="auto"/>
            <w:noWrap w:val="0"/>
            <w:vAlign w:val="center"/>
          </w:tcPr>
          <w:p>
            <w:pPr>
              <w:ind w:left="0" w:leftChars="0" w:firstLine="0" w:firstLineChars="0"/>
              <w:jc w:val="center"/>
              <w:rPr>
                <w:rFonts w:hint="eastAsia"/>
                <w:bCs/>
                <w:szCs w:val="21"/>
              </w:rPr>
            </w:pPr>
          </w:p>
        </w:tc>
        <w:tc>
          <w:tcPr>
            <w:tcW w:w="2227" w:type="dxa"/>
            <w:shd w:val="clear" w:color="auto" w:fill="auto"/>
            <w:noWrap w:val="0"/>
            <w:vAlign w:val="center"/>
          </w:tcPr>
          <w:p>
            <w:pPr>
              <w:ind w:left="0" w:leftChars="0" w:firstLine="0" w:firstLineChars="0"/>
              <w:jc w:val="center"/>
              <w:rPr>
                <w:rFonts w:hint="eastAsia"/>
                <w:bCs/>
                <w:szCs w:val="21"/>
              </w:rPr>
            </w:pPr>
            <w:r>
              <w:rPr>
                <w:rFonts w:hint="eastAsia"/>
                <w:bCs/>
                <w:szCs w:val="21"/>
              </w:rPr>
              <w:t>3（下风向）</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0.18</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0.06</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0.20</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0.11</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0.05</w:t>
            </w:r>
          </w:p>
        </w:tc>
        <w:tc>
          <w:tcPr>
            <w:tcW w:w="901" w:type="dxa"/>
            <w:shd w:val="clear" w:color="auto" w:fill="auto"/>
            <w:noWrap w:val="0"/>
            <w:vAlign w:val="center"/>
          </w:tcPr>
          <w:p>
            <w:pPr>
              <w:ind w:left="0" w:leftChars="0" w:firstLine="0" w:firstLineChars="0"/>
              <w:jc w:val="center"/>
              <w:rPr>
                <w:rFonts w:hint="eastAsia"/>
                <w:bCs/>
                <w:szCs w:val="21"/>
              </w:rPr>
            </w:pPr>
            <w:r>
              <w:rPr>
                <w:rFonts w:hint="eastAsia"/>
                <w:bCs/>
                <w:szCs w:val="21"/>
              </w:rPr>
              <w:t>0.15</w:t>
            </w:r>
          </w:p>
        </w:tc>
        <w:tc>
          <w:tcPr>
            <w:tcW w:w="937" w:type="dxa"/>
            <w:vMerge w:val="continue"/>
            <w:shd w:val="clear" w:color="auto" w:fill="auto"/>
            <w:noWrap w:val="0"/>
            <w:vAlign w:val="center"/>
          </w:tcPr>
          <w:p>
            <w:pPr>
              <w:ind w:left="0" w:leftChars="0" w:firstLine="0" w:firstLineChars="0"/>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425" w:type="dxa"/>
            <w:vMerge w:val="restart"/>
            <w:shd w:val="clear" w:color="auto" w:fill="auto"/>
            <w:noWrap w:val="0"/>
            <w:vAlign w:val="center"/>
          </w:tcPr>
          <w:p>
            <w:pPr>
              <w:ind w:left="0" w:leftChars="0" w:firstLine="0" w:firstLineChars="0"/>
              <w:jc w:val="center"/>
              <w:rPr>
                <w:rFonts w:hint="eastAsia"/>
                <w:bCs/>
                <w:szCs w:val="21"/>
              </w:rPr>
            </w:pPr>
            <w:r>
              <w:rPr>
                <w:rFonts w:hint="eastAsia"/>
                <w:bCs/>
                <w:szCs w:val="21"/>
              </w:rPr>
              <w:t>二甲苯</w:t>
            </w:r>
          </w:p>
          <w:p>
            <w:pPr>
              <w:ind w:left="0" w:leftChars="0" w:firstLine="0" w:firstLineChars="0"/>
              <w:jc w:val="center"/>
              <w:rPr>
                <w:rFonts w:hint="eastAsia"/>
                <w:bCs/>
                <w:szCs w:val="21"/>
              </w:rPr>
            </w:pPr>
            <w:r>
              <w:rPr>
                <w:rFonts w:hint="eastAsia"/>
                <w:bCs/>
                <w:szCs w:val="21"/>
              </w:rPr>
              <w:t>（mg/m</w:t>
            </w:r>
            <w:r>
              <w:rPr>
                <w:rFonts w:hint="eastAsia"/>
                <w:bCs/>
                <w:szCs w:val="21"/>
                <w:vertAlign w:val="superscript"/>
              </w:rPr>
              <w:t>3</w:t>
            </w:r>
            <w:r>
              <w:rPr>
                <w:rFonts w:hint="eastAsia"/>
                <w:bCs/>
                <w:szCs w:val="21"/>
              </w:rPr>
              <w:t>）</w:t>
            </w:r>
          </w:p>
        </w:tc>
        <w:tc>
          <w:tcPr>
            <w:tcW w:w="2227" w:type="dxa"/>
            <w:shd w:val="clear" w:color="auto" w:fill="auto"/>
            <w:noWrap w:val="0"/>
            <w:vAlign w:val="center"/>
          </w:tcPr>
          <w:p>
            <w:pPr>
              <w:ind w:left="0" w:leftChars="0" w:firstLine="0" w:firstLineChars="0"/>
              <w:jc w:val="center"/>
              <w:rPr>
                <w:rFonts w:hint="eastAsia"/>
                <w:bCs/>
                <w:szCs w:val="21"/>
              </w:rPr>
            </w:pPr>
            <w:r>
              <w:rPr>
                <w:rFonts w:hint="eastAsia"/>
                <w:bCs/>
                <w:szCs w:val="21"/>
              </w:rPr>
              <w:t>上风向</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ND</w:t>
            </w:r>
          </w:p>
        </w:tc>
        <w:tc>
          <w:tcPr>
            <w:tcW w:w="886"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900"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900"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900"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901"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937" w:type="dxa"/>
            <w:vMerge w:val="restart"/>
            <w:shd w:val="clear" w:color="auto" w:fill="auto"/>
            <w:noWrap w:val="0"/>
            <w:vAlign w:val="center"/>
          </w:tcPr>
          <w:p>
            <w:pPr>
              <w:ind w:left="0" w:leftChars="0" w:firstLine="0" w:firstLineChars="0"/>
              <w:jc w:val="center"/>
              <w:rPr>
                <w:rFonts w:hint="default" w:eastAsia="宋体"/>
                <w:bCs/>
                <w:szCs w:val="21"/>
                <w:lang w:val="en-US" w:eastAsia="zh-CN"/>
              </w:rPr>
            </w:pPr>
            <w:r>
              <w:rPr>
                <w:rFonts w:hint="eastAsia"/>
                <w:bCs/>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425" w:type="dxa"/>
            <w:vMerge w:val="continue"/>
            <w:shd w:val="clear" w:color="auto" w:fill="auto"/>
            <w:noWrap w:val="0"/>
            <w:vAlign w:val="center"/>
          </w:tcPr>
          <w:p>
            <w:pPr>
              <w:ind w:left="0" w:leftChars="0" w:firstLine="0" w:firstLineChars="0"/>
              <w:jc w:val="center"/>
              <w:rPr>
                <w:rFonts w:hint="eastAsia"/>
                <w:bCs/>
                <w:szCs w:val="21"/>
              </w:rPr>
            </w:pPr>
          </w:p>
        </w:tc>
        <w:tc>
          <w:tcPr>
            <w:tcW w:w="2227" w:type="dxa"/>
            <w:shd w:val="clear" w:color="auto" w:fill="auto"/>
            <w:noWrap w:val="0"/>
            <w:vAlign w:val="center"/>
          </w:tcPr>
          <w:p>
            <w:pPr>
              <w:ind w:left="0" w:leftChars="0" w:firstLine="0" w:firstLineChars="0"/>
              <w:jc w:val="center"/>
              <w:rPr>
                <w:rFonts w:hint="eastAsia"/>
                <w:bCs/>
                <w:szCs w:val="21"/>
              </w:rPr>
            </w:pPr>
            <w:r>
              <w:rPr>
                <w:rFonts w:hint="eastAsia"/>
                <w:bCs/>
                <w:szCs w:val="21"/>
              </w:rPr>
              <w:t>1（下风向）</w:t>
            </w:r>
          </w:p>
        </w:tc>
        <w:tc>
          <w:tcPr>
            <w:tcW w:w="886"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886"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900"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900"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900"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901"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937" w:type="dxa"/>
            <w:vMerge w:val="continue"/>
            <w:shd w:val="clear" w:color="auto" w:fill="auto"/>
            <w:noWrap w:val="0"/>
            <w:vAlign w:val="center"/>
          </w:tcPr>
          <w:p>
            <w:pPr>
              <w:ind w:left="0" w:leftChars="0" w:firstLine="0" w:firstLineChars="0"/>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425" w:type="dxa"/>
            <w:vMerge w:val="continue"/>
            <w:shd w:val="clear" w:color="auto" w:fill="auto"/>
            <w:noWrap w:val="0"/>
            <w:vAlign w:val="center"/>
          </w:tcPr>
          <w:p>
            <w:pPr>
              <w:ind w:left="0" w:leftChars="0" w:firstLine="0" w:firstLineChars="0"/>
              <w:jc w:val="center"/>
              <w:rPr>
                <w:rFonts w:hint="eastAsia"/>
                <w:bCs/>
                <w:szCs w:val="21"/>
              </w:rPr>
            </w:pPr>
          </w:p>
        </w:tc>
        <w:tc>
          <w:tcPr>
            <w:tcW w:w="2227" w:type="dxa"/>
            <w:shd w:val="clear" w:color="auto" w:fill="auto"/>
            <w:noWrap w:val="0"/>
            <w:vAlign w:val="center"/>
          </w:tcPr>
          <w:p>
            <w:pPr>
              <w:ind w:left="0" w:leftChars="0" w:firstLine="0" w:firstLineChars="0"/>
              <w:jc w:val="center"/>
              <w:rPr>
                <w:rFonts w:hint="eastAsia"/>
                <w:bCs/>
                <w:szCs w:val="21"/>
              </w:rPr>
            </w:pPr>
            <w:r>
              <w:rPr>
                <w:rFonts w:hint="eastAsia"/>
                <w:bCs/>
                <w:szCs w:val="21"/>
              </w:rPr>
              <w:t>2（下风向）</w:t>
            </w:r>
          </w:p>
        </w:tc>
        <w:tc>
          <w:tcPr>
            <w:tcW w:w="886"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0.01</w:t>
            </w:r>
          </w:p>
        </w:tc>
        <w:tc>
          <w:tcPr>
            <w:tcW w:w="900"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900"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900" w:type="dxa"/>
            <w:shd w:val="clear" w:color="auto" w:fill="auto"/>
            <w:noWrap w:val="0"/>
            <w:vAlign w:val="top"/>
          </w:tcPr>
          <w:p>
            <w:pPr>
              <w:ind w:left="0" w:leftChars="0" w:firstLine="0" w:firstLineChars="0"/>
              <w:jc w:val="center"/>
              <w:rPr>
                <w:rFonts w:hint="eastAsia"/>
                <w:bCs/>
                <w:szCs w:val="21"/>
              </w:rPr>
            </w:pPr>
            <w:r>
              <w:rPr>
                <w:rFonts w:hint="eastAsia"/>
                <w:bCs/>
                <w:szCs w:val="21"/>
              </w:rPr>
              <w:t>0.01</w:t>
            </w:r>
          </w:p>
        </w:tc>
        <w:tc>
          <w:tcPr>
            <w:tcW w:w="901"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937" w:type="dxa"/>
            <w:vMerge w:val="continue"/>
            <w:shd w:val="clear" w:color="auto" w:fill="auto"/>
            <w:noWrap w:val="0"/>
            <w:vAlign w:val="center"/>
          </w:tcPr>
          <w:p>
            <w:pPr>
              <w:ind w:left="0" w:leftChars="0" w:firstLine="0" w:firstLineChars="0"/>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425" w:type="dxa"/>
            <w:vMerge w:val="continue"/>
            <w:shd w:val="clear" w:color="auto" w:fill="auto"/>
            <w:noWrap w:val="0"/>
            <w:vAlign w:val="center"/>
          </w:tcPr>
          <w:p>
            <w:pPr>
              <w:ind w:left="0" w:leftChars="0" w:firstLine="0" w:firstLineChars="0"/>
              <w:jc w:val="center"/>
              <w:rPr>
                <w:rFonts w:hint="eastAsia"/>
                <w:bCs/>
                <w:szCs w:val="21"/>
              </w:rPr>
            </w:pPr>
          </w:p>
        </w:tc>
        <w:tc>
          <w:tcPr>
            <w:tcW w:w="2227" w:type="dxa"/>
            <w:shd w:val="clear" w:color="auto" w:fill="auto"/>
            <w:noWrap w:val="0"/>
            <w:vAlign w:val="center"/>
          </w:tcPr>
          <w:p>
            <w:pPr>
              <w:ind w:left="0" w:leftChars="0" w:firstLine="0" w:firstLineChars="0"/>
              <w:jc w:val="center"/>
              <w:rPr>
                <w:rFonts w:hint="eastAsia"/>
                <w:bCs/>
                <w:szCs w:val="21"/>
              </w:rPr>
            </w:pPr>
            <w:r>
              <w:rPr>
                <w:rFonts w:hint="eastAsia"/>
                <w:bCs/>
                <w:szCs w:val="21"/>
              </w:rPr>
              <w:t>3（下风向）</w:t>
            </w:r>
          </w:p>
        </w:tc>
        <w:tc>
          <w:tcPr>
            <w:tcW w:w="886"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ND</w:t>
            </w:r>
          </w:p>
        </w:tc>
        <w:tc>
          <w:tcPr>
            <w:tcW w:w="900"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900"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900"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901" w:type="dxa"/>
            <w:shd w:val="clear" w:color="auto" w:fill="auto"/>
            <w:noWrap w:val="0"/>
            <w:vAlign w:val="top"/>
          </w:tcPr>
          <w:p>
            <w:pPr>
              <w:ind w:left="0" w:leftChars="0" w:firstLine="0" w:firstLineChars="0"/>
              <w:jc w:val="center"/>
              <w:rPr>
                <w:rFonts w:hint="eastAsia"/>
                <w:bCs/>
                <w:szCs w:val="21"/>
              </w:rPr>
            </w:pPr>
            <w:r>
              <w:rPr>
                <w:rFonts w:hint="eastAsia"/>
                <w:bCs/>
                <w:szCs w:val="21"/>
              </w:rPr>
              <w:t>ND</w:t>
            </w:r>
          </w:p>
        </w:tc>
        <w:tc>
          <w:tcPr>
            <w:tcW w:w="937" w:type="dxa"/>
            <w:vMerge w:val="continue"/>
            <w:shd w:val="clear" w:color="auto" w:fill="auto"/>
            <w:noWrap w:val="0"/>
            <w:vAlign w:val="center"/>
          </w:tcPr>
          <w:p>
            <w:pPr>
              <w:ind w:left="0" w:leftChars="0" w:firstLine="0" w:firstLineChars="0"/>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425" w:type="dxa"/>
            <w:vMerge w:val="restart"/>
            <w:shd w:val="clear" w:color="auto" w:fill="auto"/>
            <w:noWrap w:val="0"/>
            <w:vAlign w:val="center"/>
          </w:tcPr>
          <w:p>
            <w:pPr>
              <w:ind w:left="0" w:leftChars="0" w:firstLine="0" w:firstLineChars="0"/>
              <w:jc w:val="center"/>
              <w:rPr>
                <w:rFonts w:hint="eastAsia"/>
                <w:bCs/>
                <w:szCs w:val="21"/>
              </w:rPr>
            </w:pPr>
            <w:r>
              <w:rPr>
                <w:rFonts w:hint="eastAsia"/>
                <w:bCs/>
                <w:szCs w:val="21"/>
              </w:rPr>
              <w:t>总VOCs</w:t>
            </w:r>
          </w:p>
          <w:p>
            <w:pPr>
              <w:ind w:left="0" w:leftChars="0" w:firstLine="0" w:firstLineChars="0"/>
              <w:jc w:val="center"/>
              <w:rPr>
                <w:rFonts w:hint="eastAsia"/>
                <w:bCs/>
                <w:szCs w:val="21"/>
              </w:rPr>
            </w:pPr>
            <w:r>
              <w:rPr>
                <w:rFonts w:hint="eastAsia"/>
                <w:bCs/>
                <w:szCs w:val="21"/>
              </w:rPr>
              <w:t>（mg/m</w:t>
            </w:r>
            <w:r>
              <w:rPr>
                <w:rFonts w:hint="eastAsia"/>
                <w:bCs/>
                <w:szCs w:val="21"/>
                <w:vertAlign w:val="superscript"/>
              </w:rPr>
              <w:t>3</w:t>
            </w:r>
            <w:r>
              <w:rPr>
                <w:rFonts w:hint="eastAsia"/>
                <w:bCs/>
                <w:szCs w:val="21"/>
              </w:rPr>
              <w:t>）</w:t>
            </w:r>
          </w:p>
        </w:tc>
        <w:tc>
          <w:tcPr>
            <w:tcW w:w="2227" w:type="dxa"/>
            <w:shd w:val="clear" w:color="auto" w:fill="auto"/>
            <w:noWrap w:val="0"/>
            <w:vAlign w:val="center"/>
          </w:tcPr>
          <w:p>
            <w:pPr>
              <w:ind w:left="0" w:leftChars="0" w:firstLine="0" w:firstLineChars="0"/>
              <w:jc w:val="center"/>
              <w:rPr>
                <w:rFonts w:hint="eastAsia"/>
                <w:bCs/>
                <w:szCs w:val="21"/>
              </w:rPr>
            </w:pPr>
            <w:r>
              <w:rPr>
                <w:rFonts w:hint="eastAsia"/>
                <w:bCs/>
                <w:szCs w:val="21"/>
              </w:rPr>
              <w:t>上风向</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0.37</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0.25</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0.31</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0.25</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0.22</w:t>
            </w:r>
          </w:p>
        </w:tc>
        <w:tc>
          <w:tcPr>
            <w:tcW w:w="901" w:type="dxa"/>
            <w:shd w:val="clear" w:color="auto" w:fill="auto"/>
            <w:noWrap w:val="0"/>
            <w:vAlign w:val="center"/>
          </w:tcPr>
          <w:p>
            <w:pPr>
              <w:ind w:left="0" w:leftChars="0" w:firstLine="0" w:firstLineChars="0"/>
              <w:jc w:val="center"/>
              <w:rPr>
                <w:rFonts w:hint="eastAsia"/>
                <w:bCs/>
                <w:szCs w:val="21"/>
              </w:rPr>
            </w:pPr>
            <w:r>
              <w:rPr>
                <w:rFonts w:hint="eastAsia"/>
                <w:bCs/>
                <w:szCs w:val="21"/>
              </w:rPr>
              <w:t>0.34</w:t>
            </w:r>
          </w:p>
        </w:tc>
        <w:tc>
          <w:tcPr>
            <w:tcW w:w="937" w:type="dxa"/>
            <w:vMerge w:val="restart"/>
            <w:shd w:val="clear" w:color="auto" w:fill="auto"/>
            <w:noWrap w:val="0"/>
            <w:vAlign w:val="center"/>
          </w:tcPr>
          <w:p>
            <w:pPr>
              <w:ind w:left="0" w:leftChars="0" w:firstLine="0" w:firstLineChars="0"/>
              <w:jc w:val="center"/>
              <w:rPr>
                <w:rFonts w:hint="eastAsia"/>
                <w:bCs/>
                <w:szCs w:val="21"/>
              </w:rPr>
            </w:pPr>
            <w:r>
              <w:rPr>
                <w:rFonts w:hint="eastAsia"/>
                <w:bCs/>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425" w:type="dxa"/>
            <w:vMerge w:val="continue"/>
            <w:shd w:val="clear" w:color="auto" w:fill="auto"/>
            <w:noWrap w:val="0"/>
            <w:vAlign w:val="center"/>
          </w:tcPr>
          <w:p>
            <w:pPr>
              <w:ind w:left="0" w:leftChars="0" w:firstLine="0" w:firstLineChars="0"/>
              <w:jc w:val="center"/>
              <w:rPr>
                <w:rFonts w:hint="eastAsia"/>
                <w:bCs/>
                <w:szCs w:val="21"/>
              </w:rPr>
            </w:pPr>
          </w:p>
        </w:tc>
        <w:tc>
          <w:tcPr>
            <w:tcW w:w="2227" w:type="dxa"/>
            <w:shd w:val="clear" w:color="auto" w:fill="auto"/>
            <w:noWrap w:val="0"/>
            <w:vAlign w:val="center"/>
          </w:tcPr>
          <w:p>
            <w:pPr>
              <w:ind w:left="0" w:leftChars="0" w:firstLine="0" w:firstLineChars="0"/>
              <w:jc w:val="center"/>
              <w:rPr>
                <w:rFonts w:hint="eastAsia"/>
                <w:bCs/>
                <w:szCs w:val="21"/>
              </w:rPr>
            </w:pPr>
            <w:r>
              <w:rPr>
                <w:rFonts w:hint="eastAsia"/>
                <w:bCs/>
                <w:szCs w:val="21"/>
              </w:rPr>
              <w:t>1（下风向）</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0.52</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0.38</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0.50</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0.39</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0.39</w:t>
            </w:r>
          </w:p>
        </w:tc>
        <w:tc>
          <w:tcPr>
            <w:tcW w:w="901" w:type="dxa"/>
            <w:shd w:val="clear" w:color="auto" w:fill="auto"/>
            <w:noWrap w:val="0"/>
            <w:vAlign w:val="center"/>
          </w:tcPr>
          <w:p>
            <w:pPr>
              <w:ind w:left="0" w:leftChars="0" w:firstLine="0" w:firstLineChars="0"/>
              <w:jc w:val="center"/>
              <w:rPr>
                <w:rFonts w:hint="eastAsia"/>
                <w:bCs/>
                <w:szCs w:val="21"/>
              </w:rPr>
            </w:pPr>
            <w:r>
              <w:rPr>
                <w:rFonts w:hint="eastAsia"/>
                <w:bCs/>
                <w:szCs w:val="21"/>
              </w:rPr>
              <w:t>0.47</w:t>
            </w:r>
          </w:p>
        </w:tc>
        <w:tc>
          <w:tcPr>
            <w:tcW w:w="937" w:type="dxa"/>
            <w:vMerge w:val="continue"/>
            <w:shd w:val="clear" w:color="auto" w:fill="auto"/>
            <w:noWrap w:val="0"/>
            <w:vAlign w:val="center"/>
          </w:tcPr>
          <w:p>
            <w:pPr>
              <w:ind w:left="0" w:leftChars="0" w:firstLine="0" w:firstLineChars="0"/>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425" w:type="dxa"/>
            <w:vMerge w:val="continue"/>
            <w:shd w:val="clear" w:color="auto" w:fill="auto"/>
            <w:noWrap w:val="0"/>
            <w:vAlign w:val="center"/>
          </w:tcPr>
          <w:p>
            <w:pPr>
              <w:ind w:left="0" w:leftChars="0" w:firstLine="0" w:firstLineChars="0"/>
              <w:jc w:val="center"/>
              <w:rPr>
                <w:rFonts w:hint="eastAsia"/>
                <w:bCs/>
                <w:szCs w:val="21"/>
              </w:rPr>
            </w:pPr>
          </w:p>
        </w:tc>
        <w:tc>
          <w:tcPr>
            <w:tcW w:w="2227" w:type="dxa"/>
            <w:shd w:val="clear" w:color="auto" w:fill="auto"/>
            <w:noWrap w:val="0"/>
            <w:vAlign w:val="center"/>
          </w:tcPr>
          <w:p>
            <w:pPr>
              <w:ind w:left="0" w:leftChars="0" w:firstLine="0" w:firstLineChars="0"/>
              <w:jc w:val="center"/>
              <w:rPr>
                <w:rFonts w:hint="eastAsia"/>
                <w:bCs/>
                <w:szCs w:val="21"/>
              </w:rPr>
            </w:pPr>
            <w:r>
              <w:rPr>
                <w:rFonts w:hint="eastAsia"/>
                <w:bCs/>
                <w:szCs w:val="21"/>
              </w:rPr>
              <w:t>2（下风向）</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0.44</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0.41</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0.41</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0.41</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0.55</w:t>
            </w:r>
          </w:p>
        </w:tc>
        <w:tc>
          <w:tcPr>
            <w:tcW w:w="901" w:type="dxa"/>
            <w:shd w:val="clear" w:color="auto" w:fill="auto"/>
            <w:noWrap w:val="0"/>
            <w:vAlign w:val="center"/>
          </w:tcPr>
          <w:p>
            <w:pPr>
              <w:ind w:left="0" w:leftChars="0" w:firstLine="0" w:firstLineChars="0"/>
              <w:jc w:val="center"/>
              <w:rPr>
                <w:rFonts w:hint="eastAsia"/>
                <w:bCs/>
                <w:szCs w:val="21"/>
              </w:rPr>
            </w:pPr>
            <w:r>
              <w:rPr>
                <w:rFonts w:hint="eastAsia"/>
                <w:bCs/>
                <w:szCs w:val="21"/>
              </w:rPr>
              <w:t>0.39</w:t>
            </w:r>
          </w:p>
        </w:tc>
        <w:tc>
          <w:tcPr>
            <w:tcW w:w="937" w:type="dxa"/>
            <w:vMerge w:val="continue"/>
            <w:shd w:val="clear" w:color="auto" w:fill="auto"/>
            <w:noWrap w:val="0"/>
            <w:vAlign w:val="center"/>
          </w:tcPr>
          <w:p>
            <w:pPr>
              <w:ind w:left="0" w:leftChars="0" w:firstLine="0" w:firstLineChars="0"/>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425" w:type="dxa"/>
            <w:vMerge w:val="continue"/>
            <w:shd w:val="clear" w:color="auto" w:fill="auto"/>
            <w:noWrap w:val="0"/>
            <w:vAlign w:val="center"/>
          </w:tcPr>
          <w:p>
            <w:pPr>
              <w:ind w:left="0" w:leftChars="0" w:firstLine="0" w:firstLineChars="0"/>
              <w:jc w:val="center"/>
              <w:rPr>
                <w:rFonts w:hint="eastAsia"/>
                <w:bCs/>
                <w:szCs w:val="21"/>
              </w:rPr>
            </w:pPr>
          </w:p>
        </w:tc>
        <w:tc>
          <w:tcPr>
            <w:tcW w:w="2227" w:type="dxa"/>
            <w:shd w:val="clear" w:color="auto" w:fill="auto"/>
            <w:noWrap w:val="0"/>
            <w:vAlign w:val="center"/>
          </w:tcPr>
          <w:p>
            <w:pPr>
              <w:ind w:left="0" w:leftChars="0" w:firstLine="0" w:firstLineChars="0"/>
              <w:jc w:val="center"/>
              <w:rPr>
                <w:rFonts w:hint="eastAsia"/>
                <w:bCs/>
                <w:szCs w:val="21"/>
              </w:rPr>
            </w:pPr>
            <w:r>
              <w:rPr>
                <w:rFonts w:hint="eastAsia"/>
                <w:bCs/>
                <w:szCs w:val="21"/>
              </w:rPr>
              <w:t>3（下风向）</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0.47</w:t>
            </w:r>
          </w:p>
        </w:tc>
        <w:tc>
          <w:tcPr>
            <w:tcW w:w="886" w:type="dxa"/>
            <w:shd w:val="clear" w:color="auto" w:fill="auto"/>
            <w:noWrap w:val="0"/>
            <w:vAlign w:val="center"/>
          </w:tcPr>
          <w:p>
            <w:pPr>
              <w:ind w:left="0" w:leftChars="0" w:firstLine="0" w:firstLineChars="0"/>
              <w:jc w:val="center"/>
              <w:rPr>
                <w:rFonts w:hint="eastAsia"/>
                <w:bCs/>
                <w:szCs w:val="21"/>
              </w:rPr>
            </w:pPr>
            <w:r>
              <w:rPr>
                <w:rFonts w:hint="eastAsia"/>
                <w:bCs/>
                <w:szCs w:val="21"/>
              </w:rPr>
              <w:t>0.43</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0.55</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0.33</w:t>
            </w:r>
          </w:p>
        </w:tc>
        <w:tc>
          <w:tcPr>
            <w:tcW w:w="900" w:type="dxa"/>
            <w:shd w:val="clear" w:color="auto" w:fill="auto"/>
            <w:noWrap w:val="0"/>
            <w:vAlign w:val="center"/>
          </w:tcPr>
          <w:p>
            <w:pPr>
              <w:ind w:left="0" w:leftChars="0" w:firstLine="0" w:firstLineChars="0"/>
              <w:jc w:val="center"/>
              <w:rPr>
                <w:rFonts w:hint="eastAsia"/>
                <w:bCs/>
                <w:szCs w:val="21"/>
              </w:rPr>
            </w:pPr>
            <w:r>
              <w:rPr>
                <w:rFonts w:hint="eastAsia"/>
                <w:bCs/>
                <w:szCs w:val="21"/>
              </w:rPr>
              <w:t>0.39</w:t>
            </w:r>
          </w:p>
        </w:tc>
        <w:tc>
          <w:tcPr>
            <w:tcW w:w="901" w:type="dxa"/>
            <w:shd w:val="clear" w:color="auto" w:fill="auto"/>
            <w:noWrap w:val="0"/>
            <w:vAlign w:val="center"/>
          </w:tcPr>
          <w:p>
            <w:pPr>
              <w:ind w:left="0" w:leftChars="0" w:firstLine="0" w:firstLineChars="0"/>
              <w:jc w:val="center"/>
              <w:rPr>
                <w:rFonts w:hint="eastAsia"/>
                <w:bCs/>
                <w:szCs w:val="21"/>
              </w:rPr>
            </w:pPr>
            <w:r>
              <w:rPr>
                <w:rFonts w:hint="eastAsia"/>
                <w:bCs/>
                <w:szCs w:val="21"/>
              </w:rPr>
              <w:t>0.45</w:t>
            </w:r>
          </w:p>
        </w:tc>
        <w:tc>
          <w:tcPr>
            <w:tcW w:w="937" w:type="dxa"/>
            <w:vMerge w:val="continue"/>
            <w:shd w:val="clear" w:color="auto" w:fill="auto"/>
            <w:noWrap w:val="0"/>
            <w:vAlign w:val="center"/>
          </w:tcPr>
          <w:p>
            <w:pPr>
              <w:ind w:left="0" w:leftChars="0" w:firstLine="0" w:firstLineChars="0"/>
              <w:jc w:val="center"/>
              <w:rPr>
                <w:rFonts w:hint="eastAsia"/>
                <w:bCs/>
                <w:szCs w:val="21"/>
              </w:rPr>
            </w:pPr>
          </w:p>
        </w:tc>
      </w:tr>
    </w:tbl>
    <w:p>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hint="default" w:ascii="黑体" w:hAnsi="黑体" w:eastAsia="黑体" w:cs="黑体"/>
          <w:b w:val="0"/>
          <w:bCs w:val="0"/>
          <w:sz w:val="24"/>
          <w:szCs w:val="24"/>
          <w:lang w:eastAsia="zh-CN"/>
        </w:rPr>
      </w:pP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hint="default" w:ascii="黑体" w:hAnsi="黑体" w:eastAsia="黑体" w:cs="黑体"/>
          <w:b w:val="0"/>
          <w:bCs w:val="0"/>
          <w:sz w:val="24"/>
          <w:szCs w:val="24"/>
          <w:lang w:eastAsia="zh-CN"/>
        </w:rPr>
      </w:pP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hint="default" w:ascii="黑体" w:hAnsi="黑体" w:eastAsia="黑体" w:cs="黑体"/>
          <w:b w:val="0"/>
          <w:bCs w:val="0"/>
          <w:sz w:val="24"/>
          <w:szCs w:val="24"/>
          <w:lang w:eastAsia="zh-CN"/>
        </w:rPr>
      </w:pP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hint="default" w:ascii="黑体" w:hAnsi="黑体" w:eastAsia="黑体" w:cs="黑体"/>
          <w:b w:val="0"/>
          <w:bCs w:val="0"/>
          <w:sz w:val="24"/>
          <w:szCs w:val="24"/>
          <w:lang w:eastAsia="zh-CN"/>
        </w:rPr>
      </w:pP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hint="default" w:ascii="黑体" w:hAnsi="黑体" w:eastAsia="黑体" w:cs="黑体"/>
          <w:b w:val="0"/>
          <w:bCs w:val="0"/>
          <w:sz w:val="24"/>
          <w:szCs w:val="24"/>
          <w:lang w:eastAsia="zh-CN"/>
        </w:rPr>
      </w:pP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hint="default" w:ascii="黑体" w:hAnsi="黑体" w:eastAsia="黑体" w:cs="黑体"/>
          <w:b w:val="0"/>
          <w:bCs w:val="0"/>
          <w:sz w:val="24"/>
          <w:szCs w:val="24"/>
          <w:lang w:eastAsia="zh-CN"/>
        </w:rPr>
      </w:pP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hint="default" w:ascii="黑体" w:hAnsi="黑体" w:eastAsia="黑体" w:cs="黑体"/>
          <w:b w:val="0"/>
          <w:bCs w:val="0"/>
          <w:sz w:val="24"/>
          <w:szCs w:val="24"/>
          <w:lang w:eastAsia="zh-CN"/>
        </w:rPr>
      </w:pP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hint="default" w:ascii="黑体" w:hAnsi="黑体" w:eastAsia="黑体" w:cs="黑体"/>
          <w:b w:val="0"/>
          <w:bCs w:val="0"/>
          <w:sz w:val="24"/>
          <w:szCs w:val="24"/>
          <w:lang w:eastAsia="zh-CN"/>
        </w:rPr>
      </w:pPr>
      <w:r>
        <w:rPr>
          <w:rFonts w:hint="default" w:ascii="黑体" w:hAnsi="黑体" w:eastAsia="黑体" w:cs="黑体"/>
          <w:b w:val="0"/>
          <w:bCs w:val="0"/>
          <w:sz w:val="24"/>
          <w:szCs w:val="24"/>
          <w:lang w:eastAsia="zh-CN"/>
        </w:rPr>
        <w:t>表</w:t>
      </w:r>
      <w:r>
        <w:rPr>
          <w:rFonts w:hint="eastAsia" w:eastAsia="黑体" w:cs="黑体"/>
          <w:b w:val="0"/>
          <w:bCs w:val="0"/>
          <w:sz w:val="24"/>
          <w:szCs w:val="24"/>
          <w:lang w:val="en-US" w:eastAsia="zh-CN"/>
        </w:rPr>
        <w:t>10</w:t>
      </w:r>
      <w:r>
        <w:rPr>
          <w:rFonts w:hint="default" w:ascii="黑体" w:hAnsi="黑体" w:eastAsia="黑体" w:cs="黑体"/>
          <w:b w:val="0"/>
          <w:bCs w:val="0"/>
          <w:sz w:val="24"/>
          <w:szCs w:val="24"/>
          <w:lang w:eastAsia="zh-CN"/>
        </w:rPr>
        <w:t>.2-</w:t>
      </w:r>
      <w:r>
        <w:rPr>
          <w:rFonts w:hint="eastAsia" w:eastAsia="黑体" w:cs="黑体"/>
          <w:b w:val="0"/>
          <w:bCs w:val="0"/>
          <w:sz w:val="24"/>
          <w:szCs w:val="24"/>
          <w:lang w:val="en-US" w:eastAsia="zh-CN"/>
        </w:rPr>
        <w:t>4</w:t>
      </w:r>
      <w:r>
        <w:rPr>
          <w:rFonts w:hint="default" w:ascii="黑体" w:hAnsi="黑体" w:eastAsia="黑体" w:cs="黑体"/>
          <w:b w:val="0"/>
          <w:bCs w:val="0"/>
          <w:sz w:val="24"/>
          <w:szCs w:val="24"/>
          <w:lang w:eastAsia="zh-CN"/>
        </w:rPr>
        <w:t xml:space="preserve"> </w:t>
      </w:r>
      <w:r>
        <w:rPr>
          <w:rFonts w:hint="eastAsia" w:eastAsia="黑体" w:cs="黑体"/>
          <w:b w:val="0"/>
          <w:bCs w:val="0"/>
          <w:sz w:val="24"/>
          <w:szCs w:val="24"/>
          <w:lang w:val="en-US" w:eastAsia="zh-CN"/>
        </w:rPr>
        <w:t>有组织颗粒物</w:t>
      </w:r>
      <w:r>
        <w:rPr>
          <w:rFonts w:hint="default" w:ascii="黑体" w:hAnsi="黑体" w:eastAsia="黑体" w:cs="黑体"/>
          <w:b w:val="0"/>
          <w:bCs w:val="0"/>
          <w:sz w:val="24"/>
          <w:szCs w:val="24"/>
          <w:lang w:eastAsia="zh-CN"/>
        </w:rPr>
        <w:t>排放</w:t>
      </w:r>
      <w:r>
        <w:rPr>
          <w:rFonts w:hint="eastAsia" w:eastAsia="黑体" w:cs="黑体"/>
          <w:b w:val="0"/>
          <w:bCs w:val="0"/>
          <w:sz w:val="24"/>
          <w:szCs w:val="24"/>
          <w:lang w:val="en-US" w:eastAsia="zh-CN"/>
        </w:rPr>
        <w:t>检测</w:t>
      </w:r>
      <w:r>
        <w:rPr>
          <w:rFonts w:hint="default" w:ascii="黑体" w:hAnsi="黑体" w:eastAsia="黑体" w:cs="黑体"/>
          <w:b w:val="0"/>
          <w:bCs w:val="0"/>
          <w:sz w:val="24"/>
          <w:szCs w:val="24"/>
          <w:lang w:eastAsia="zh-CN"/>
        </w:rPr>
        <w:t>结果</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533"/>
        <w:gridCol w:w="2133"/>
        <w:gridCol w:w="1934"/>
        <w:gridCol w:w="2200"/>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9854" w:type="dxa"/>
            <w:gridSpan w:val="6"/>
            <w:shd w:val="clear" w:color="auto" w:fill="auto"/>
            <w:noWrap w:val="0"/>
            <w:vAlign w:val="top"/>
          </w:tcPr>
          <w:p>
            <w:pPr>
              <w:spacing w:line="360" w:lineRule="auto"/>
              <w:ind w:left="0" w:leftChars="0" w:firstLine="0" w:firstLineChars="0"/>
              <w:rPr>
                <w:rFonts w:hint="eastAsia"/>
                <w:bCs/>
                <w:szCs w:val="21"/>
              </w:rPr>
            </w:pPr>
            <w:r>
              <w:rPr>
                <w:rFonts w:hint="eastAsia"/>
                <w:b/>
                <w:bCs w:val="0"/>
              </w:rPr>
              <w:t>执行标准：</w:t>
            </w:r>
            <w:bookmarkStart w:id="253" w:name="_Hlk44746915"/>
            <w:r>
              <w:rPr>
                <w:rFonts w:hint="eastAsia"/>
                <w:bCs/>
                <w:szCs w:val="21"/>
              </w:rPr>
              <w:t>广东省地方标准《大气污染物排放限值》</w:t>
            </w:r>
            <w:r>
              <w:rPr>
                <w:szCs w:val="21"/>
              </w:rPr>
              <w:t>（DB44/27-2001）</w:t>
            </w:r>
            <w:r>
              <w:rPr>
                <w:rFonts w:hint="eastAsia"/>
                <w:szCs w:val="21"/>
              </w:rPr>
              <w:t>中表</w:t>
            </w:r>
            <w:r>
              <w:rPr>
                <w:szCs w:val="21"/>
              </w:rPr>
              <w:t>2</w:t>
            </w:r>
            <w:r>
              <w:rPr>
                <w:rFonts w:hint="eastAsia"/>
                <w:szCs w:val="21"/>
              </w:rPr>
              <w:t>工艺废气大气污染物排放限值（第二时段）所规定的颗粒物二级排放限值</w:t>
            </w:r>
            <w:bookmarkEnd w:id="253"/>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9854" w:type="dxa"/>
            <w:gridSpan w:val="6"/>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35" w:type="dxa"/>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分析项目</w:t>
            </w:r>
          </w:p>
        </w:tc>
        <w:tc>
          <w:tcPr>
            <w:tcW w:w="3666" w:type="dxa"/>
            <w:gridSpan w:val="2"/>
            <w:shd w:val="clear" w:color="auto" w:fill="auto"/>
            <w:noWrap w:val="0"/>
            <w:vAlign w:val="center"/>
          </w:tcPr>
          <w:p>
            <w:pPr>
              <w:jc w:val="left"/>
              <w:rPr>
                <w:rFonts w:hint="eastAsia"/>
                <w:bCs/>
              </w:rPr>
            </w:pPr>
            <w:r>
              <w:rPr>
                <w:rFonts w:hint="eastAsia"/>
                <w:bCs/>
              </w:rPr>
              <mc:AlternateContent>
                <mc:Choice Requires="wps">
                  <w:drawing>
                    <wp:anchor distT="0" distB="0" distL="114300" distR="114300" simplePos="0" relativeHeight="251873280" behindDoc="0" locked="0" layoutInCell="1" allowOverlap="1">
                      <wp:simplePos x="0" y="0"/>
                      <wp:positionH relativeFrom="column">
                        <wp:posOffset>-62865</wp:posOffset>
                      </wp:positionH>
                      <wp:positionV relativeFrom="paragraph">
                        <wp:posOffset>36195</wp:posOffset>
                      </wp:positionV>
                      <wp:extent cx="2332990" cy="557530"/>
                      <wp:effectExtent l="1270" t="4445" r="8890" b="9525"/>
                      <wp:wrapNone/>
                      <wp:docPr id="47" name="直接箭头连接符 47"/>
                      <wp:cNvGraphicFramePr/>
                      <a:graphic xmlns:a="http://schemas.openxmlformats.org/drawingml/2006/main">
                        <a:graphicData uri="http://schemas.microsoft.com/office/word/2010/wordprocessingShape">
                          <wps:wsp>
                            <wps:cNvCnPr/>
                            <wps:spPr>
                              <a:xfrm>
                                <a:off x="0" y="0"/>
                                <a:ext cx="2332990" cy="5575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95pt;margin-top:2.85pt;height:43.9pt;width:183.7pt;z-index:251873280;mso-width-relative:page;mso-height-relative:page;" filled="f" stroked="t" coordsize="21600,21600" o:gfxdata="UEsDBAoAAAAAAIdO4kAAAAAAAAAAAAAAAAAEAAAAZHJzL1BLAwQUAAAACACHTuJAJ+WKTdYAAAAH&#10;AQAADwAAAGRycy9kb3ducmV2LnhtbE2OwU7DMBBE70j8g7VIXFBrp5UpCdlUCIkDR9pKXN14SQLx&#10;OoqdpvTrMSc4jmb05pXbs+vFicbQeUbIlgoEce1txw3CYf+yeAARomFres+E8E0BttX1VWkK62d+&#10;o9MuNiJBOBQGoY1xKKQMdUvOhKUfiFP34UdnYopjI+1o5gR3vVwpdS+d6Tg9tGag55bqr93kEChM&#10;OlNPuWsOr5f57n11+ZyHPeLtTaYeQUQ6x78x/OondaiS09FPbIPoERZ5npYIegMi1Wu90SCOCPla&#10;g6xK+d+/+gFQSwMEFAAAAAgAh07iQPwg0FzrAQAApQMAAA4AAABkcnMvZTJvRG9jLnhtbK1TS44T&#10;MRDdI3EHy3vSSYdmJq10ZpEwbBBEAg5Qsd3dlvyTbdLJJbgAEitgxbCaPacZhmNQdkKGzwYheuEu&#10;u1yv6r0qzy92WpGt8EFa09DJaEyJMMxyabqGvnp5+eCckhDBcFDWiIbuRaAXi/v35oOrRWl7q7jw&#10;BEFMqAfX0D5GVxdFYL3QEEbWCYPO1noNEbe+K7iHAdG1Ksrx+FExWM+dt0yEgKerg5MuMn7bChaf&#10;t20QkaiGYm0xrz6vm7QWiznUnQfXS3YsA/6hCg3SYNIT1AoikNde/gGlJfM22DaOmNWFbVvJROaA&#10;bCbj39i86MGJzAXFCe4kU/h/sOzZdu2J5A19eEaJAY09un17/fXNh9vPVzfvr799eZfsTx8J+lGs&#10;wYUaY5Zm7Y+74NY+Md+1Xqc/ciK7LPD+JLDYRcLwsJxOy9kM+8DQV1Vn1TR3oLiLdj7EJ8JqkoyG&#10;huhBdn1cWmOwl9ZPssqwfRoi5sfAHwEptTJkaOisKivMADhNrYKIpnbIL5guxwarJL+USqWI4LvN&#10;UnmyhTQf+UssEfeXaynJCkJ/uJddh8npBfDHhpO4dyicwRGnqQQtOCVK4ItIFgJCHUGqv7mJqZXB&#10;CpLQB2mTtbF8nxXP5zgLucbj3KZh+3mfo+9e1+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WK&#10;TdYAAAAHAQAADwAAAAAAAAABACAAAAAiAAAAZHJzL2Rvd25yZXYueG1sUEsBAhQAFAAAAAgAh07i&#10;QPwg0FzrAQAApQMAAA4AAAAAAAAAAQAgAAAAJQEAAGRycy9lMm9Eb2MueG1sUEsFBgAAAAAGAAYA&#10;WQEAAIIFAAAAAA==&#10;">
                      <v:fill on="f" focussize="0,0"/>
                      <v:stroke color="#000000" joinstyle="round"/>
                      <v:imagedata o:title=""/>
                      <o:lock v:ext="edit" aspectratio="f"/>
                    </v:shape>
                  </w:pict>
                </mc:Fallback>
              </mc:AlternateContent>
            </w:r>
            <w:r>
              <w:rPr>
                <w:rFonts w:hint="eastAsia"/>
                <w:bCs/>
              </w:rPr>
              <w:t xml:space="preserve"> </w:t>
            </w:r>
            <w:r>
              <w:rPr>
                <w:bCs/>
              </w:rPr>
              <w:t xml:space="preserve">               </w:t>
            </w:r>
            <w:r>
              <w:rPr>
                <w:rFonts w:hint="eastAsia"/>
                <w:bCs/>
              </w:rPr>
              <w:t>采样时间</w:t>
            </w:r>
          </w:p>
          <w:p>
            <w:pPr>
              <w:jc w:val="left"/>
              <w:rPr>
                <w:rFonts w:hint="eastAsia"/>
                <w:bCs/>
              </w:rPr>
            </w:pPr>
            <w:r>
              <w:rPr>
                <w:rFonts w:hint="eastAsia"/>
                <w:bCs/>
              </w:rPr>
              <w:t>检测点位</w:t>
            </w:r>
          </w:p>
        </w:tc>
        <w:tc>
          <w:tcPr>
            <w:tcW w:w="1934" w:type="dxa"/>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6月18日</w:t>
            </w:r>
          </w:p>
        </w:tc>
        <w:tc>
          <w:tcPr>
            <w:tcW w:w="2200" w:type="dxa"/>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6月19日</w:t>
            </w:r>
          </w:p>
        </w:tc>
        <w:tc>
          <w:tcPr>
            <w:tcW w:w="1219" w:type="dxa"/>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35" w:type="dxa"/>
            <w:vMerge w:val="restart"/>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颗</w:t>
            </w:r>
          </w:p>
          <w:p>
            <w:pPr>
              <w:spacing w:line="276" w:lineRule="auto"/>
              <w:ind w:left="0" w:leftChars="0" w:firstLine="0" w:firstLineChars="0"/>
              <w:jc w:val="center"/>
              <w:rPr>
                <w:rFonts w:hint="eastAsia"/>
                <w:bCs/>
                <w:sz w:val="24"/>
              </w:rPr>
            </w:pPr>
            <w:r>
              <w:rPr>
                <w:rFonts w:hint="eastAsia"/>
                <w:bCs/>
                <w:sz w:val="24"/>
              </w:rPr>
              <w:t>粒</w:t>
            </w:r>
          </w:p>
          <w:p>
            <w:pPr>
              <w:spacing w:line="276" w:lineRule="auto"/>
              <w:ind w:left="0" w:leftChars="0" w:firstLine="0" w:firstLineChars="0"/>
              <w:jc w:val="center"/>
              <w:rPr>
                <w:rFonts w:hint="eastAsia"/>
                <w:bCs/>
                <w:sz w:val="24"/>
              </w:rPr>
            </w:pPr>
            <w:r>
              <w:rPr>
                <w:rFonts w:hint="eastAsia"/>
                <w:bCs/>
                <w:sz w:val="24"/>
              </w:rPr>
              <w:t>物</w:t>
            </w:r>
          </w:p>
        </w:tc>
        <w:tc>
          <w:tcPr>
            <w:tcW w:w="1533" w:type="dxa"/>
            <w:vMerge w:val="restart"/>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车间废气净化前排放口</w:t>
            </w:r>
          </w:p>
        </w:tc>
        <w:tc>
          <w:tcPr>
            <w:tcW w:w="2133" w:type="dxa"/>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排放浓度（mg/m</w:t>
            </w:r>
            <w:r>
              <w:rPr>
                <w:rFonts w:hint="eastAsia"/>
                <w:bCs/>
                <w:sz w:val="24"/>
                <w:vertAlign w:val="superscript"/>
              </w:rPr>
              <w:t>3</w:t>
            </w:r>
            <w:r>
              <w:rPr>
                <w:rFonts w:hint="eastAsia"/>
                <w:bCs/>
                <w:sz w:val="24"/>
              </w:rPr>
              <w:t>）</w:t>
            </w:r>
          </w:p>
        </w:tc>
        <w:tc>
          <w:tcPr>
            <w:tcW w:w="1934" w:type="dxa"/>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ND</w:t>
            </w:r>
          </w:p>
        </w:tc>
        <w:tc>
          <w:tcPr>
            <w:tcW w:w="2200" w:type="dxa"/>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ND</w:t>
            </w:r>
          </w:p>
        </w:tc>
        <w:tc>
          <w:tcPr>
            <w:tcW w:w="1219" w:type="dxa"/>
            <w:shd w:val="clear" w:color="auto" w:fill="auto"/>
            <w:noWrap w:val="0"/>
            <w:vAlign w:val="center"/>
          </w:tcPr>
          <w:p>
            <w:pPr>
              <w:spacing w:line="276" w:lineRule="auto"/>
              <w:ind w:left="0" w:leftChars="0" w:firstLine="0" w:firstLineChars="0"/>
              <w:jc w:val="center"/>
              <w:rPr>
                <w:rFonts w:hint="eastAsia" w:eastAsia="宋体"/>
                <w:bCs/>
                <w:sz w:val="24"/>
                <w:lang w:val="en-US" w:eastAsia="zh-CN"/>
              </w:rPr>
            </w:pPr>
            <w:r>
              <w:rPr>
                <w:rFonts w:hint="eastAsia"/>
                <w:bCs/>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35" w:type="dxa"/>
            <w:vMerge w:val="continue"/>
            <w:shd w:val="clear" w:color="auto" w:fill="auto"/>
            <w:noWrap w:val="0"/>
            <w:vAlign w:val="center"/>
          </w:tcPr>
          <w:p>
            <w:pPr>
              <w:spacing w:line="276" w:lineRule="auto"/>
              <w:ind w:left="0" w:leftChars="0" w:firstLine="0" w:firstLineChars="0"/>
              <w:jc w:val="center"/>
              <w:rPr>
                <w:rFonts w:hint="eastAsia"/>
                <w:bCs/>
                <w:sz w:val="24"/>
              </w:rPr>
            </w:pPr>
          </w:p>
        </w:tc>
        <w:tc>
          <w:tcPr>
            <w:tcW w:w="1533" w:type="dxa"/>
            <w:vMerge w:val="continue"/>
            <w:shd w:val="clear" w:color="auto" w:fill="auto"/>
            <w:noWrap w:val="0"/>
            <w:vAlign w:val="center"/>
          </w:tcPr>
          <w:p>
            <w:pPr>
              <w:spacing w:line="276" w:lineRule="auto"/>
              <w:ind w:left="0" w:leftChars="0" w:firstLine="0" w:firstLineChars="0"/>
              <w:jc w:val="center"/>
              <w:rPr>
                <w:rFonts w:hint="eastAsia"/>
                <w:bCs/>
                <w:sz w:val="24"/>
              </w:rPr>
            </w:pPr>
          </w:p>
        </w:tc>
        <w:tc>
          <w:tcPr>
            <w:tcW w:w="2133" w:type="dxa"/>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排放速率（kg/h）</w:t>
            </w:r>
          </w:p>
        </w:tc>
        <w:tc>
          <w:tcPr>
            <w:tcW w:w="1934" w:type="dxa"/>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＜3.48×10</w:t>
            </w:r>
            <w:r>
              <w:rPr>
                <w:rFonts w:hint="eastAsia"/>
                <w:bCs/>
                <w:sz w:val="24"/>
                <w:vertAlign w:val="superscript"/>
              </w:rPr>
              <w:t>-3</w:t>
            </w:r>
          </w:p>
        </w:tc>
        <w:tc>
          <w:tcPr>
            <w:tcW w:w="2200" w:type="dxa"/>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＜6.99×10</w:t>
            </w:r>
            <w:r>
              <w:rPr>
                <w:rFonts w:hint="eastAsia"/>
                <w:bCs/>
                <w:sz w:val="24"/>
                <w:vertAlign w:val="superscript"/>
              </w:rPr>
              <w:t>-3</w:t>
            </w:r>
          </w:p>
        </w:tc>
        <w:tc>
          <w:tcPr>
            <w:tcW w:w="1219" w:type="dxa"/>
            <w:shd w:val="clear" w:color="auto" w:fill="auto"/>
            <w:noWrap w:val="0"/>
            <w:vAlign w:val="center"/>
          </w:tcPr>
          <w:p>
            <w:pPr>
              <w:spacing w:line="276" w:lineRule="auto"/>
              <w:ind w:left="0" w:leftChars="0" w:firstLine="0" w:firstLineChars="0"/>
              <w:jc w:val="center"/>
              <w:rPr>
                <w:rFonts w:hint="eastAsia" w:eastAsia="宋体"/>
                <w:bCs/>
                <w:sz w:val="24"/>
                <w:lang w:eastAsia="zh-CN"/>
              </w:rPr>
            </w:pPr>
            <w:r>
              <w:rPr>
                <w:rFonts w:hint="eastAsia"/>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35" w:type="dxa"/>
            <w:vMerge w:val="continue"/>
            <w:shd w:val="clear" w:color="auto" w:fill="auto"/>
            <w:noWrap w:val="0"/>
            <w:vAlign w:val="center"/>
          </w:tcPr>
          <w:p>
            <w:pPr>
              <w:spacing w:line="276" w:lineRule="auto"/>
              <w:ind w:left="0" w:leftChars="0" w:firstLine="0" w:firstLineChars="0"/>
              <w:jc w:val="center"/>
              <w:rPr>
                <w:rFonts w:hint="eastAsia"/>
                <w:bCs/>
                <w:sz w:val="24"/>
              </w:rPr>
            </w:pPr>
          </w:p>
        </w:tc>
        <w:tc>
          <w:tcPr>
            <w:tcW w:w="1533" w:type="dxa"/>
            <w:vMerge w:val="restart"/>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车间废气净化后排放口</w:t>
            </w:r>
          </w:p>
        </w:tc>
        <w:tc>
          <w:tcPr>
            <w:tcW w:w="2133" w:type="dxa"/>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排放浓度（mg/m</w:t>
            </w:r>
            <w:r>
              <w:rPr>
                <w:rFonts w:hint="eastAsia"/>
                <w:bCs/>
                <w:sz w:val="24"/>
                <w:vertAlign w:val="superscript"/>
              </w:rPr>
              <w:t>3</w:t>
            </w:r>
            <w:r>
              <w:rPr>
                <w:rFonts w:hint="eastAsia"/>
                <w:bCs/>
                <w:sz w:val="24"/>
              </w:rPr>
              <w:t>）</w:t>
            </w:r>
          </w:p>
        </w:tc>
        <w:tc>
          <w:tcPr>
            <w:tcW w:w="1934" w:type="dxa"/>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ND</w:t>
            </w:r>
          </w:p>
        </w:tc>
        <w:tc>
          <w:tcPr>
            <w:tcW w:w="2200" w:type="dxa"/>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ND</w:t>
            </w:r>
          </w:p>
        </w:tc>
        <w:tc>
          <w:tcPr>
            <w:tcW w:w="1219" w:type="dxa"/>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35" w:type="dxa"/>
            <w:vMerge w:val="continue"/>
            <w:shd w:val="clear" w:color="auto" w:fill="auto"/>
            <w:noWrap w:val="0"/>
            <w:vAlign w:val="center"/>
          </w:tcPr>
          <w:p>
            <w:pPr>
              <w:spacing w:line="276" w:lineRule="auto"/>
              <w:ind w:left="0" w:leftChars="0" w:firstLine="0" w:firstLineChars="0"/>
              <w:jc w:val="center"/>
              <w:rPr>
                <w:rFonts w:hint="eastAsia"/>
                <w:bCs/>
                <w:sz w:val="24"/>
              </w:rPr>
            </w:pPr>
          </w:p>
        </w:tc>
        <w:tc>
          <w:tcPr>
            <w:tcW w:w="1533" w:type="dxa"/>
            <w:vMerge w:val="continue"/>
            <w:shd w:val="clear" w:color="auto" w:fill="auto"/>
            <w:noWrap w:val="0"/>
            <w:vAlign w:val="center"/>
          </w:tcPr>
          <w:p>
            <w:pPr>
              <w:spacing w:line="276" w:lineRule="auto"/>
              <w:ind w:left="0" w:leftChars="0" w:firstLine="0" w:firstLineChars="0"/>
              <w:jc w:val="center"/>
              <w:rPr>
                <w:rFonts w:hint="eastAsia"/>
                <w:bCs/>
                <w:sz w:val="24"/>
              </w:rPr>
            </w:pPr>
          </w:p>
        </w:tc>
        <w:tc>
          <w:tcPr>
            <w:tcW w:w="2133" w:type="dxa"/>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排放速率（kg/h）</w:t>
            </w:r>
          </w:p>
        </w:tc>
        <w:tc>
          <w:tcPr>
            <w:tcW w:w="1934" w:type="dxa"/>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＜4.12×10</w:t>
            </w:r>
            <w:r>
              <w:rPr>
                <w:rFonts w:hint="eastAsia"/>
                <w:bCs/>
                <w:sz w:val="24"/>
                <w:vertAlign w:val="superscript"/>
              </w:rPr>
              <w:t>-3</w:t>
            </w:r>
          </w:p>
        </w:tc>
        <w:tc>
          <w:tcPr>
            <w:tcW w:w="2200" w:type="dxa"/>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＜6.62×10</w:t>
            </w:r>
            <w:r>
              <w:rPr>
                <w:rFonts w:hint="eastAsia"/>
                <w:bCs/>
                <w:sz w:val="24"/>
                <w:vertAlign w:val="superscript"/>
              </w:rPr>
              <w:t>-3</w:t>
            </w:r>
          </w:p>
        </w:tc>
        <w:tc>
          <w:tcPr>
            <w:tcW w:w="1219" w:type="dxa"/>
            <w:shd w:val="clear" w:color="auto" w:fill="auto"/>
            <w:noWrap w:val="0"/>
            <w:vAlign w:val="center"/>
          </w:tcPr>
          <w:p>
            <w:pPr>
              <w:spacing w:line="276" w:lineRule="auto"/>
              <w:ind w:left="0" w:leftChars="0" w:firstLine="0" w:firstLineChars="0"/>
              <w:jc w:val="center"/>
              <w:rPr>
                <w:rFonts w:hint="eastAsia"/>
                <w:bCs/>
                <w:sz w:val="24"/>
              </w:rPr>
            </w:pPr>
            <w:r>
              <w:rPr>
                <w:rFonts w:hint="eastAsia"/>
                <w:bCs/>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exact"/>
          <w:jc w:val="center"/>
        </w:trPr>
        <w:tc>
          <w:tcPr>
            <w:tcW w:w="9854" w:type="dxa"/>
            <w:gridSpan w:val="6"/>
            <w:shd w:val="clear" w:color="auto" w:fill="auto"/>
            <w:noWrap w:val="0"/>
            <w:vAlign w:val="center"/>
          </w:tcPr>
          <w:p>
            <w:pPr>
              <w:spacing w:line="360" w:lineRule="auto"/>
              <w:ind w:left="0" w:leftChars="0" w:firstLine="0" w:firstLineChars="0"/>
              <w:jc w:val="both"/>
              <w:rPr>
                <w:rFonts w:hint="eastAsia"/>
                <w:bCs/>
                <w:sz w:val="24"/>
              </w:rPr>
            </w:pPr>
            <w:r>
              <w:rPr>
                <w:rFonts w:hint="eastAsia"/>
                <w:bCs/>
                <w:sz w:val="24"/>
              </w:rPr>
              <w:t>说明：1. 排气筒高度：20米；2. 废气排放速率标准限值按排气筒高度20米限值的50%执行；</w:t>
            </w:r>
          </w:p>
          <w:p>
            <w:pPr>
              <w:spacing w:line="360" w:lineRule="auto"/>
              <w:ind w:left="0" w:leftChars="0" w:firstLine="0" w:firstLineChars="0"/>
              <w:jc w:val="both"/>
              <w:rPr>
                <w:rFonts w:hint="eastAsia"/>
                <w:bCs/>
                <w:sz w:val="24"/>
              </w:rPr>
            </w:pPr>
            <w:r>
              <w:rPr>
                <w:rFonts w:hint="eastAsia"/>
                <w:bCs/>
                <w:sz w:val="24"/>
              </w:rPr>
              <w:t>3.ND表示检测结果低于方法检出限。</w:t>
            </w:r>
          </w:p>
        </w:tc>
      </w:tr>
    </w:tbl>
    <w:p>
      <w:pPr>
        <w:ind w:left="0" w:leftChars="0" w:firstLine="0" w:firstLineChars="0"/>
        <w:jc w:val="center"/>
        <w:rPr>
          <w:rFonts w:hint="default"/>
          <w:lang w:val="en-US" w:eastAsia="zh-CN"/>
        </w:rPr>
        <w:sectPr>
          <w:pgSz w:w="11906" w:h="16838"/>
          <w:pgMar w:top="1134" w:right="1080" w:bottom="1134" w:left="108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bookmarkStart w:id="254" w:name="_Toc742_WPSOffice_Level1"/>
      <w:bookmarkStart w:id="255" w:name="_Toc32355"/>
      <w:bookmarkStart w:id="256" w:name="_Toc31285"/>
      <w:bookmarkStart w:id="257" w:name="_Toc22612_WPSOffice_Level1"/>
      <w:bookmarkStart w:id="258" w:name="_Toc16551"/>
      <w:bookmarkStart w:id="259" w:name="_Toc30668_WPSOffice_Level1"/>
    </w:p>
    <w:p>
      <w:pPr>
        <w:pStyle w:val="2"/>
        <w:spacing w:line="360" w:lineRule="auto"/>
        <w:jc w:val="center"/>
        <w:rPr>
          <w:rFonts w:hint="eastAsia" w:eastAsia="黑体" w:cs="黑体"/>
          <w:b w:val="0"/>
          <w:bCs w:val="0"/>
          <w:color w:val="000000"/>
          <w:kern w:val="2"/>
          <w:sz w:val="24"/>
          <w:szCs w:val="24"/>
          <w:lang w:val="en-US" w:eastAsia="zh-CN" w:bidi="ar-SA"/>
        </w:rPr>
      </w:pPr>
      <w:r>
        <w:rPr>
          <w:rFonts w:hint="eastAsia" w:ascii="黑体" w:hAnsi="黑体" w:eastAsia="黑体" w:cs="黑体"/>
          <w:b w:val="0"/>
          <w:bCs w:val="0"/>
          <w:color w:val="000000"/>
          <w:kern w:val="2"/>
          <w:sz w:val="24"/>
          <w:szCs w:val="24"/>
          <w:lang w:val="en-US" w:eastAsia="zh-CN" w:bidi="ar-SA"/>
        </w:rPr>
        <w:t>表10.2-</w:t>
      </w:r>
      <w:r>
        <w:rPr>
          <w:rFonts w:hint="eastAsia" w:eastAsia="黑体" w:cs="黑体"/>
          <w:b w:val="0"/>
          <w:bCs w:val="0"/>
          <w:color w:val="000000"/>
          <w:kern w:val="2"/>
          <w:sz w:val="24"/>
          <w:szCs w:val="24"/>
          <w:lang w:val="en-US" w:eastAsia="zh-CN" w:bidi="ar-SA"/>
        </w:rPr>
        <w:t>5  有组织有机废气排放检测结果</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286"/>
        <w:gridCol w:w="2326"/>
        <w:gridCol w:w="2141"/>
        <w:gridCol w:w="2141"/>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962" w:type="dxa"/>
            <w:gridSpan w:val="6"/>
            <w:shd w:val="clear" w:color="auto" w:fill="auto"/>
            <w:noWrap w:val="0"/>
            <w:vAlign w:val="top"/>
          </w:tcPr>
          <w:p>
            <w:pPr>
              <w:bidi w:val="0"/>
              <w:spacing w:line="360" w:lineRule="auto"/>
              <w:ind w:left="0" w:leftChars="0" w:firstLine="0" w:firstLineChars="0"/>
              <w:rPr>
                <w:rFonts w:hint="eastAsia"/>
              </w:rPr>
            </w:pPr>
            <w:r>
              <w:rPr>
                <w:rFonts w:hint="eastAsia"/>
                <w:b/>
                <w:bCs/>
              </w:rPr>
              <w:t>检测项目：</w:t>
            </w:r>
          </w:p>
          <w:p>
            <w:pPr>
              <w:bidi w:val="0"/>
              <w:spacing w:line="360" w:lineRule="auto"/>
              <w:ind w:left="0" w:leftChars="0" w:firstLine="0" w:firstLineChars="0"/>
              <w:rPr>
                <w:rFonts w:hint="eastAsia"/>
              </w:rPr>
            </w:pPr>
            <w:r>
              <w:rPr>
                <w:rFonts w:hint="eastAsia"/>
              </w:rPr>
              <w:t>甲苯与二甲苯合计、总V</w:t>
            </w:r>
            <w:r>
              <w:t>OC</w:t>
            </w:r>
            <w:r>
              <w:rPr>
                <w:rFonts w:hint="eastAsia"/>
              </w:rPr>
              <w:t>s。</w:t>
            </w:r>
            <w:r>
              <w:t xml:space="preserve">             </w:t>
            </w:r>
            <w:r>
              <w:rPr>
                <w:rFonts w:hint="eastAsia"/>
              </w:rPr>
              <w:t xml:space="preserve"> </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9962" w:type="dxa"/>
            <w:gridSpan w:val="6"/>
            <w:shd w:val="clear" w:color="auto" w:fill="auto"/>
            <w:noWrap w:val="0"/>
            <w:vAlign w:val="top"/>
          </w:tcPr>
          <w:p>
            <w:pPr>
              <w:bidi w:val="0"/>
              <w:spacing w:line="360" w:lineRule="auto"/>
              <w:ind w:left="0" w:leftChars="0" w:firstLine="0" w:firstLineChars="0"/>
              <w:rPr>
                <w:rFonts w:hint="eastAsia"/>
                <w:b/>
                <w:bCs/>
              </w:rPr>
            </w:pPr>
            <w:r>
              <w:rPr>
                <w:rFonts w:hint="eastAsia"/>
                <w:b/>
                <w:bCs/>
              </w:rPr>
              <w:t>执行标准：</w:t>
            </w:r>
          </w:p>
          <w:p>
            <w:pPr>
              <w:bidi w:val="0"/>
              <w:spacing w:line="360" w:lineRule="auto"/>
              <w:ind w:left="0" w:leftChars="0" w:firstLine="0" w:firstLineChars="0"/>
              <w:rPr>
                <w:rFonts w:hint="eastAsia"/>
              </w:rPr>
            </w:pPr>
            <w:r>
              <w:rPr>
                <w:rFonts w:hint="eastAsia"/>
              </w:rPr>
              <w:t>广东省地方标准《表面涂装（汽车制造业）挥发性有机化合物排放标准》</w:t>
            </w:r>
            <w:r>
              <w:t>（DB44/816-2010）</w:t>
            </w:r>
            <w:r>
              <w:rPr>
                <w:rFonts w:hint="eastAsia"/>
              </w:rPr>
              <w:t>中5</w:t>
            </w:r>
            <w:r>
              <w:t>.2</w:t>
            </w:r>
            <w:r>
              <w:rPr>
                <w:rFonts w:hint="eastAsia"/>
              </w:rPr>
              <w:t>净化装置V</w:t>
            </w:r>
            <w:r>
              <w:t>OC</w:t>
            </w:r>
            <w:r>
              <w:rPr>
                <w:rFonts w:hint="eastAsia"/>
              </w:rPr>
              <w:t>s的总去除效率要求及表</w:t>
            </w:r>
            <w:r>
              <w:t>2</w:t>
            </w:r>
            <w:r>
              <w:rPr>
                <w:rFonts w:hint="eastAsia"/>
              </w:rPr>
              <w:t>排气筒V</w:t>
            </w:r>
            <w:r>
              <w:t>OC</w:t>
            </w:r>
            <w:r>
              <w:rPr>
                <w:rFonts w:hint="eastAsia"/>
              </w:rPr>
              <w:t>s排放限值中甲苯与二甲苯合计、总V</w:t>
            </w:r>
            <w:r>
              <w:t>OC</w:t>
            </w:r>
            <w:r>
              <w:rPr>
                <w:rFonts w:hint="eastAsia"/>
              </w:rPr>
              <w:t>s其他排气筒排放浓度限值（mg</w:t>
            </w:r>
            <w:r>
              <w:t>/</w:t>
            </w:r>
            <w:r>
              <w:rPr>
                <w:rFonts w:hint="eastAsia"/>
              </w:rPr>
              <w:t>m</w:t>
            </w:r>
            <w:r>
              <w:t>3</w:t>
            </w:r>
            <w:r>
              <w:rPr>
                <w:rFonts w:hint="eastAsia"/>
              </w:rPr>
              <w:t>）II时段所规定的排放限值及与排气筒高度对应的V</w:t>
            </w:r>
            <w:r>
              <w:t>OC</w:t>
            </w:r>
            <w:r>
              <w:rPr>
                <w:rFonts w:hint="eastAsia"/>
              </w:rPr>
              <w:t>s最高允许排放速率（kg</w:t>
            </w:r>
            <w:r>
              <w:t>/</w:t>
            </w:r>
            <w:r>
              <w:rPr>
                <w:rFonts w:hint="eastAsia"/>
              </w:rPr>
              <w:t>h）。以及《大气污染物综合排放标准》（GB16297-</w:t>
            </w:r>
            <w:r>
              <w:t>1996</w:t>
            </w:r>
            <w:r>
              <w:rPr>
                <w:rFonts w:hint="eastAsia"/>
              </w:rPr>
              <w:t>）表2中二甲苯排放速率限值要求。由于项目所用油漆均不含甲苯，所以实际上甲苯与二甲苯合计的量数值上等同于二甲苯的量。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9962" w:type="dxa"/>
            <w:gridSpan w:val="6"/>
            <w:shd w:val="clear" w:color="auto" w:fill="auto"/>
            <w:noWrap w:val="0"/>
            <w:vAlign w:val="top"/>
          </w:tcPr>
          <w:p>
            <w:pPr>
              <w:spacing w:line="276" w:lineRule="auto"/>
              <w:jc w:val="center"/>
              <w:rPr>
                <w:rFonts w:hint="eastAsia"/>
                <w:bCs/>
                <w:sz w:val="24"/>
              </w:rPr>
            </w:pPr>
            <w:r>
              <w:rPr>
                <w:rFonts w:hint="eastAsia"/>
                <w:bCs/>
                <w:sz w:val="24"/>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415" w:type="dxa"/>
            <w:shd w:val="clear" w:color="auto" w:fill="auto"/>
            <w:noWrap w:val="0"/>
            <w:vAlign w:val="center"/>
          </w:tcPr>
          <w:p>
            <w:pPr>
              <w:ind w:left="0" w:leftChars="0" w:firstLine="0" w:firstLineChars="0"/>
              <w:jc w:val="center"/>
              <w:rPr>
                <w:rFonts w:hint="eastAsia"/>
                <w:bCs/>
                <w:szCs w:val="21"/>
              </w:rPr>
            </w:pPr>
            <w:r>
              <w:rPr>
                <w:rFonts w:hint="eastAsia"/>
                <w:bCs/>
                <w:szCs w:val="21"/>
              </w:rPr>
              <w:t>分析项目</w:t>
            </w:r>
          </w:p>
        </w:tc>
        <w:tc>
          <w:tcPr>
            <w:tcW w:w="3612" w:type="dxa"/>
            <w:gridSpan w:val="2"/>
            <w:shd w:val="clear" w:color="auto" w:fill="auto"/>
            <w:noWrap w:val="0"/>
            <w:vAlign w:val="center"/>
          </w:tcPr>
          <w:p>
            <w:pPr>
              <w:jc w:val="left"/>
              <w:rPr>
                <w:rFonts w:hint="eastAsia"/>
                <w:bCs/>
              </w:rPr>
            </w:pPr>
            <w:r>
              <w:rPr>
                <w:rFonts w:hint="eastAsia"/>
                <w:bCs/>
              </w:rPr>
              <mc:AlternateContent>
                <mc:Choice Requires="wps">
                  <w:drawing>
                    <wp:anchor distT="0" distB="0" distL="114300" distR="114300" simplePos="0" relativeHeight="251895808" behindDoc="0" locked="0" layoutInCell="1" allowOverlap="1">
                      <wp:simplePos x="0" y="0"/>
                      <wp:positionH relativeFrom="column">
                        <wp:posOffset>-67310</wp:posOffset>
                      </wp:positionH>
                      <wp:positionV relativeFrom="paragraph">
                        <wp:posOffset>14605</wp:posOffset>
                      </wp:positionV>
                      <wp:extent cx="2235835" cy="1148715"/>
                      <wp:effectExtent l="1905" t="4445" r="10160" b="8890"/>
                      <wp:wrapNone/>
                      <wp:docPr id="2" name="直接箭头连接符 2"/>
                      <wp:cNvGraphicFramePr/>
                      <a:graphic xmlns:a="http://schemas.openxmlformats.org/drawingml/2006/main">
                        <a:graphicData uri="http://schemas.microsoft.com/office/word/2010/wordprocessingShape">
                          <wps:wsp>
                            <wps:cNvCnPr/>
                            <wps:spPr>
                              <a:xfrm>
                                <a:off x="0" y="0"/>
                                <a:ext cx="2235835" cy="114871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3pt;margin-top:1.15pt;height:90.45pt;width:176.05pt;z-index:251895808;mso-width-relative:page;mso-height-relative:page;" filled="f" stroked="t" coordsize="21600,21600" o:gfxdata="UEsDBAoAAAAAAIdO4kAAAAAAAAAAAAAAAAAEAAAAZHJzL1BLAwQUAAAACACHTuJAT9tvTdgAAAAJ&#10;AQAADwAAAGRycy9kb3ducmV2LnhtbE2PwU7DMBBE70j8g7VIXFBrO6FVCXEqhMSBI20lrm68JIF4&#10;HcVOU/r1LCc4ruZp5m25PftenHCMXSADeqlAINXBddQYOOxfFhsQMVlytg+EBr4xwra6vipt4cJM&#10;b3japUZwCcXCGmhTGgopY92it3EZBiTOPsLobeJzbKQb7czlvpeZUmvpbUe80NoBn1usv3aTN4Bx&#10;Wmn19OCbw+tlvnvPLp/zsDfm9karRxAJz+kPhl99VoeKnY5hIhdFb2Ch1ZpRA1kOgvP8Xq9AHBnc&#10;5BnIqpT/P6h+AFBLAwQUAAAACACHTuJAlQy8QeYBAACkAwAADgAAAGRycy9lMm9Eb2MueG1srVNL&#10;jhMxEN0jcQfLe9LpHgKhlc4sEoYNgpGAA1T86bbkn2yTTi7BBZBYAStgNXtOA8MxKDshw2eDEL1w&#10;l131quo9lxfnO6PJVoSonO1oPZlSIixzXNm+oy+eX9yZUxITWA7aWdHRvYj0fHn71mL0rWjc4DQX&#10;gWASG9vRd3RIybdVFdkgDMSJ88KiU7pgIOE29BUPMGJ2o6tmOr1XjS5wHxwTMeLp+uCky5JfSsHS&#10;UymjSER3FHtLZQ1l3eS1Wi6g7QP4QbFjG/APXRhQFoueUq0hAXkZ1B+pjGLBRSfThDlTOSkVE4UD&#10;sqmnv7F5NoAXhQuKE/1Jpvj/0rIn28tAFO9oQ4kFg1d0/frq66t3158+fnl79e3zm2x/eE+aLNXo&#10;Y4uIlb0Mx130lyHz3slg8h8ZkV2Rd3+SV+wSYXjYNGez+dmMEoa+ur47v1/PctbqBu5DTI+EMyQb&#10;HY0pgOqHtHLW4lW6UBeRYfs4pgPwByDX1paMHX0wa3IJwGGSGhKaxiO9aPuCjU4rfqG0zogY+s1K&#10;B7KFPB7lOzb0S1gusoY4HOKKK4dBOwjgDy0nae9ROIsTTnMLRnBKtMAHka0SmUDpv4lELbRFSbLS&#10;B22ztXF8XyQv5zgKRbTj2OZZ+3lf0DePa/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9tvTdgA&#10;AAAJAQAADwAAAAAAAAABACAAAAAiAAAAZHJzL2Rvd25yZXYueG1sUEsBAhQAFAAAAAgAh07iQJUM&#10;vEHmAQAApAMAAA4AAAAAAAAAAQAgAAAAJwEAAGRycy9lMm9Eb2MueG1sUEsFBgAAAAAGAAYAWQEA&#10;AH8FAAAAAA==&#10;">
                      <v:fill on="f" focussize="0,0"/>
                      <v:stroke color="#000000" joinstyle="round"/>
                      <v:imagedata o:title=""/>
                      <o:lock v:ext="edit" aspectratio="f"/>
                    </v:shape>
                  </w:pict>
                </mc:Fallback>
              </mc:AlternateContent>
            </w:r>
            <w:r>
              <w:rPr>
                <w:rFonts w:hint="eastAsia"/>
                <w:bCs/>
              </w:rPr>
              <w:t xml:space="preserve"> </w:t>
            </w:r>
          </w:p>
          <w:p>
            <w:pPr>
              <w:jc w:val="left"/>
              <w:rPr>
                <w:rFonts w:hint="eastAsia"/>
                <w:bCs/>
              </w:rPr>
            </w:pPr>
            <w:r>
              <w:rPr>
                <w:bCs/>
              </w:rPr>
              <w:t xml:space="preserve">               </w:t>
            </w:r>
            <w:r>
              <w:rPr>
                <w:rFonts w:hint="eastAsia"/>
                <w:bCs/>
              </w:rPr>
              <w:t>采样时间</w:t>
            </w:r>
          </w:p>
          <w:p>
            <w:pPr>
              <w:jc w:val="left"/>
              <w:rPr>
                <w:rFonts w:hint="eastAsia"/>
                <w:bCs/>
              </w:rPr>
            </w:pPr>
            <w:r>
              <w:rPr>
                <w:rFonts w:hint="eastAsia"/>
                <w:bCs/>
              </w:rPr>
              <w:t>检测点位</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6月18日</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6月19日</w:t>
            </w:r>
          </w:p>
        </w:tc>
        <w:tc>
          <w:tcPr>
            <w:tcW w:w="653" w:type="dxa"/>
            <w:shd w:val="clear" w:color="auto" w:fill="auto"/>
            <w:noWrap w:val="0"/>
            <w:vAlign w:val="center"/>
          </w:tcPr>
          <w:p>
            <w:pPr>
              <w:ind w:left="0" w:leftChars="0" w:firstLine="0" w:firstLineChars="0"/>
              <w:jc w:val="center"/>
              <w:rPr>
                <w:rFonts w:hint="eastAsia"/>
                <w:bCs/>
                <w:szCs w:val="21"/>
              </w:rPr>
            </w:pPr>
            <w:r>
              <w:rPr>
                <w:rFonts w:hint="eastAsia"/>
                <w:bCs/>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15" w:type="dxa"/>
            <w:vMerge w:val="restart"/>
            <w:shd w:val="clear" w:color="auto" w:fill="auto"/>
            <w:noWrap w:val="0"/>
            <w:vAlign w:val="center"/>
          </w:tcPr>
          <w:p>
            <w:pPr>
              <w:ind w:left="0" w:leftChars="0" w:firstLine="0" w:firstLineChars="0"/>
              <w:jc w:val="center"/>
              <w:rPr>
                <w:rFonts w:hint="eastAsia"/>
                <w:bCs/>
                <w:szCs w:val="21"/>
              </w:rPr>
            </w:pPr>
            <w:r>
              <w:rPr>
                <w:rFonts w:hint="eastAsia"/>
                <w:bCs/>
                <w:szCs w:val="21"/>
              </w:rPr>
              <w:t>甲苯与二甲苯合计</w:t>
            </w:r>
          </w:p>
        </w:tc>
        <w:tc>
          <w:tcPr>
            <w:tcW w:w="1286" w:type="dxa"/>
            <w:vMerge w:val="restart"/>
            <w:shd w:val="clear" w:color="auto" w:fill="auto"/>
            <w:noWrap w:val="0"/>
            <w:vAlign w:val="center"/>
          </w:tcPr>
          <w:p>
            <w:pPr>
              <w:ind w:left="0" w:leftChars="0" w:firstLine="0" w:firstLineChars="0"/>
              <w:jc w:val="center"/>
              <w:rPr>
                <w:rFonts w:hint="eastAsia"/>
                <w:bCs/>
                <w:szCs w:val="21"/>
              </w:rPr>
            </w:pPr>
            <w:r>
              <w:rPr>
                <w:rFonts w:hint="eastAsia"/>
                <w:bCs/>
                <w:szCs w:val="21"/>
              </w:rPr>
              <w:t>车间废气净化前排放口</w:t>
            </w:r>
          </w:p>
        </w:tc>
        <w:tc>
          <w:tcPr>
            <w:tcW w:w="2326" w:type="dxa"/>
            <w:shd w:val="clear" w:color="auto" w:fill="auto"/>
            <w:noWrap w:val="0"/>
            <w:vAlign w:val="center"/>
          </w:tcPr>
          <w:p>
            <w:pPr>
              <w:ind w:left="0" w:leftChars="0" w:firstLine="0" w:firstLineChars="0"/>
              <w:jc w:val="center"/>
              <w:rPr>
                <w:rFonts w:hint="eastAsia"/>
                <w:bCs/>
                <w:szCs w:val="21"/>
              </w:rPr>
            </w:pPr>
            <w:r>
              <w:rPr>
                <w:rFonts w:hint="eastAsia"/>
                <w:bCs/>
                <w:szCs w:val="21"/>
              </w:rPr>
              <w:t>排放浓度（mg/m</w:t>
            </w:r>
            <w:r>
              <w:rPr>
                <w:rFonts w:hint="eastAsia"/>
                <w:bCs/>
                <w:szCs w:val="21"/>
                <w:vertAlign w:val="superscript"/>
              </w:rPr>
              <w:t>3</w:t>
            </w:r>
            <w:r>
              <w:rPr>
                <w:rFonts w:hint="eastAsia"/>
                <w:bCs/>
                <w:szCs w:val="21"/>
              </w:rPr>
              <w:t>）</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0.20</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0.23</w:t>
            </w:r>
          </w:p>
        </w:tc>
        <w:tc>
          <w:tcPr>
            <w:tcW w:w="653" w:type="dxa"/>
            <w:vMerge w:val="restart"/>
            <w:shd w:val="clear" w:color="auto" w:fill="auto"/>
            <w:noWrap w:val="0"/>
            <w:vAlign w:val="center"/>
          </w:tcPr>
          <w:p>
            <w:pPr>
              <w:ind w:left="0" w:leftChars="0" w:firstLine="0" w:firstLineChars="0"/>
              <w:jc w:val="center"/>
              <w:rPr>
                <w:rFonts w:hint="default" w:eastAsia="宋体"/>
                <w:bCs/>
                <w:szCs w:val="21"/>
                <w:lang w:val="en-US" w:eastAsia="zh-CN"/>
              </w:rPr>
            </w:pPr>
            <w:r>
              <w:rPr>
                <w:rFonts w:hint="eastAsia"/>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415" w:type="dxa"/>
            <w:vMerge w:val="continue"/>
            <w:shd w:val="clear" w:color="auto" w:fill="auto"/>
            <w:noWrap w:val="0"/>
            <w:vAlign w:val="center"/>
          </w:tcPr>
          <w:p>
            <w:pPr>
              <w:ind w:left="0" w:leftChars="0" w:firstLine="0" w:firstLineChars="0"/>
              <w:jc w:val="center"/>
              <w:rPr>
                <w:rFonts w:hint="eastAsia"/>
                <w:bCs/>
                <w:szCs w:val="21"/>
              </w:rPr>
            </w:pPr>
          </w:p>
        </w:tc>
        <w:tc>
          <w:tcPr>
            <w:tcW w:w="1286" w:type="dxa"/>
            <w:vMerge w:val="continue"/>
            <w:shd w:val="clear" w:color="auto" w:fill="auto"/>
            <w:noWrap w:val="0"/>
            <w:vAlign w:val="center"/>
          </w:tcPr>
          <w:p>
            <w:pPr>
              <w:ind w:left="0" w:leftChars="0" w:firstLine="0" w:firstLineChars="0"/>
              <w:jc w:val="center"/>
              <w:rPr>
                <w:rFonts w:hint="eastAsia"/>
                <w:bCs/>
                <w:szCs w:val="21"/>
              </w:rPr>
            </w:pPr>
          </w:p>
        </w:tc>
        <w:tc>
          <w:tcPr>
            <w:tcW w:w="2326" w:type="dxa"/>
            <w:shd w:val="clear" w:color="auto" w:fill="auto"/>
            <w:noWrap w:val="0"/>
            <w:vAlign w:val="center"/>
          </w:tcPr>
          <w:p>
            <w:pPr>
              <w:ind w:left="0" w:leftChars="0" w:firstLine="0" w:firstLineChars="0"/>
              <w:jc w:val="center"/>
              <w:rPr>
                <w:rFonts w:hint="eastAsia"/>
                <w:bCs/>
                <w:szCs w:val="21"/>
              </w:rPr>
            </w:pPr>
            <w:r>
              <w:rPr>
                <w:rFonts w:hint="eastAsia"/>
                <w:bCs/>
                <w:szCs w:val="21"/>
              </w:rPr>
              <w:t>排放速率（kg/h）</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6.95×10</w:t>
            </w:r>
            <w:r>
              <w:rPr>
                <w:rFonts w:hint="eastAsia"/>
                <w:bCs/>
                <w:szCs w:val="21"/>
                <w:vertAlign w:val="superscript"/>
              </w:rPr>
              <w:t>-4</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9.48×10</w:t>
            </w:r>
            <w:r>
              <w:rPr>
                <w:rFonts w:hint="eastAsia"/>
                <w:bCs/>
                <w:szCs w:val="21"/>
                <w:vertAlign w:val="superscript"/>
              </w:rPr>
              <w:t>-4</w:t>
            </w:r>
          </w:p>
        </w:tc>
        <w:tc>
          <w:tcPr>
            <w:tcW w:w="653" w:type="dxa"/>
            <w:vMerge w:val="continue"/>
            <w:shd w:val="clear" w:color="auto" w:fill="auto"/>
            <w:noWrap w:val="0"/>
            <w:vAlign w:val="center"/>
          </w:tcPr>
          <w:p>
            <w:pPr>
              <w:ind w:left="0" w:leftChars="0" w:firstLine="0" w:firstLineChars="0"/>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15" w:type="dxa"/>
            <w:vMerge w:val="continue"/>
            <w:shd w:val="clear" w:color="auto" w:fill="auto"/>
            <w:noWrap w:val="0"/>
            <w:vAlign w:val="center"/>
          </w:tcPr>
          <w:p>
            <w:pPr>
              <w:ind w:left="0" w:leftChars="0" w:firstLine="0" w:firstLineChars="0"/>
              <w:jc w:val="center"/>
              <w:rPr>
                <w:rFonts w:hint="eastAsia"/>
                <w:bCs/>
                <w:szCs w:val="21"/>
              </w:rPr>
            </w:pPr>
          </w:p>
        </w:tc>
        <w:tc>
          <w:tcPr>
            <w:tcW w:w="1286" w:type="dxa"/>
            <w:vMerge w:val="restart"/>
            <w:shd w:val="clear" w:color="auto" w:fill="auto"/>
            <w:noWrap w:val="0"/>
            <w:vAlign w:val="center"/>
          </w:tcPr>
          <w:p>
            <w:pPr>
              <w:ind w:left="0" w:leftChars="0" w:firstLine="0" w:firstLineChars="0"/>
              <w:jc w:val="center"/>
              <w:rPr>
                <w:rFonts w:hint="eastAsia"/>
                <w:bCs/>
                <w:szCs w:val="21"/>
              </w:rPr>
            </w:pPr>
            <w:r>
              <w:rPr>
                <w:rFonts w:hint="eastAsia"/>
                <w:bCs/>
                <w:szCs w:val="21"/>
              </w:rPr>
              <w:t>车间废气净化后排放口</w:t>
            </w:r>
          </w:p>
        </w:tc>
        <w:tc>
          <w:tcPr>
            <w:tcW w:w="2326" w:type="dxa"/>
            <w:shd w:val="clear" w:color="auto" w:fill="auto"/>
            <w:noWrap w:val="0"/>
            <w:vAlign w:val="center"/>
          </w:tcPr>
          <w:p>
            <w:pPr>
              <w:ind w:left="0" w:leftChars="0" w:firstLine="0" w:firstLineChars="0"/>
              <w:jc w:val="center"/>
              <w:rPr>
                <w:rFonts w:hint="eastAsia"/>
                <w:bCs/>
                <w:szCs w:val="21"/>
              </w:rPr>
            </w:pPr>
            <w:r>
              <w:rPr>
                <w:rFonts w:hint="eastAsia"/>
                <w:bCs/>
                <w:szCs w:val="21"/>
              </w:rPr>
              <w:t>排放浓度（mg/m3）</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0.01</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0.02</w:t>
            </w:r>
          </w:p>
        </w:tc>
        <w:tc>
          <w:tcPr>
            <w:tcW w:w="653" w:type="dxa"/>
            <w:shd w:val="clear" w:color="auto" w:fill="auto"/>
            <w:noWrap w:val="0"/>
            <w:vAlign w:val="center"/>
          </w:tcPr>
          <w:p>
            <w:pPr>
              <w:ind w:left="0" w:leftChars="0" w:firstLine="0" w:firstLineChars="0"/>
              <w:jc w:val="center"/>
              <w:rPr>
                <w:rFonts w:hint="eastAsia"/>
                <w:bCs/>
                <w:szCs w:val="21"/>
              </w:rPr>
            </w:pPr>
            <w:r>
              <w:rPr>
                <w:rFonts w:hint="eastAsia"/>
                <w:bCs/>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15" w:type="dxa"/>
            <w:vMerge w:val="continue"/>
            <w:shd w:val="clear" w:color="auto" w:fill="auto"/>
            <w:noWrap w:val="0"/>
            <w:vAlign w:val="center"/>
          </w:tcPr>
          <w:p>
            <w:pPr>
              <w:ind w:left="0" w:leftChars="0" w:firstLine="0" w:firstLineChars="0"/>
              <w:jc w:val="center"/>
              <w:rPr>
                <w:rFonts w:hint="eastAsia"/>
                <w:bCs/>
                <w:szCs w:val="21"/>
              </w:rPr>
            </w:pPr>
          </w:p>
        </w:tc>
        <w:tc>
          <w:tcPr>
            <w:tcW w:w="1286" w:type="dxa"/>
            <w:vMerge w:val="continue"/>
            <w:shd w:val="clear" w:color="auto" w:fill="auto"/>
            <w:noWrap w:val="0"/>
            <w:vAlign w:val="center"/>
          </w:tcPr>
          <w:p>
            <w:pPr>
              <w:ind w:left="0" w:leftChars="0" w:firstLine="0" w:firstLineChars="0"/>
              <w:jc w:val="center"/>
              <w:rPr>
                <w:rFonts w:hint="eastAsia"/>
                <w:bCs/>
                <w:szCs w:val="21"/>
              </w:rPr>
            </w:pPr>
          </w:p>
        </w:tc>
        <w:tc>
          <w:tcPr>
            <w:tcW w:w="2326" w:type="dxa"/>
            <w:shd w:val="clear" w:color="auto" w:fill="auto"/>
            <w:noWrap w:val="0"/>
            <w:vAlign w:val="center"/>
          </w:tcPr>
          <w:p>
            <w:pPr>
              <w:ind w:left="0" w:leftChars="0" w:firstLine="0" w:firstLineChars="0"/>
              <w:jc w:val="center"/>
              <w:rPr>
                <w:rFonts w:hint="eastAsia"/>
                <w:bCs/>
                <w:szCs w:val="21"/>
              </w:rPr>
            </w:pPr>
            <w:r>
              <w:rPr>
                <w:rFonts w:hint="eastAsia"/>
                <w:bCs/>
                <w:szCs w:val="21"/>
              </w:rPr>
              <w:t>排放速率（kg/h）</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6.99×10</w:t>
            </w:r>
            <w:r>
              <w:rPr>
                <w:rFonts w:hint="eastAsia"/>
                <w:bCs/>
                <w:szCs w:val="21"/>
                <w:vertAlign w:val="superscript"/>
              </w:rPr>
              <w:t>-5</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1.32×10</w:t>
            </w:r>
            <w:r>
              <w:rPr>
                <w:rFonts w:hint="eastAsia"/>
                <w:bCs/>
                <w:szCs w:val="21"/>
                <w:vertAlign w:val="superscript"/>
              </w:rPr>
              <w:t>-4</w:t>
            </w:r>
          </w:p>
        </w:tc>
        <w:tc>
          <w:tcPr>
            <w:tcW w:w="653" w:type="dxa"/>
            <w:shd w:val="clear" w:color="auto" w:fill="auto"/>
            <w:noWrap w:val="0"/>
            <w:vAlign w:val="center"/>
          </w:tcPr>
          <w:p>
            <w:pPr>
              <w:ind w:left="0" w:leftChars="0" w:firstLine="0" w:firstLineChars="0"/>
              <w:jc w:val="center"/>
              <w:rPr>
                <w:rFonts w:hint="eastAsia"/>
                <w:bCs/>
                <w:szCs w:val="21"/>
              </w:rPr>
            </w:pPr>
            <w:r>
              <w:rPr>
                <w:rFonts w:hint="eastAsia"/>
                <w:bCs/>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15" w:type="dxa"/>
            <w:shd w:val="clear" w:color="auto" w:fill="auto"/>
            <w:noWrap w:val="0"/>
            <w:vAlign w:val="center"/>
          </w:tcPr>
          <w:p>
            <w:pPr>
              <w:ind w:left="0" w:leftChars="0" w:firstLine="0" w:firstLineChars="0"/>
              <w:jc w:val="center"/>
              <w:rPr>
                <w:rFonts w:hint="eastAsia" w:eastAsia="宋体"/>
                <w:bCs/>
                <w:szCs w:val="21"/>
                <w:lang w:eastAsia="zh-CN"/>
              </w:rPr>
            </w:pPr>
            <w:r>
              <w:rPr>
                <w:rFonts w:hint="eastAsia"/>
                <w:bCs/>
                <w:szCs w:val="21"/>
                <w:lang w:eastAsia="zh-CN"/>
              </w:rPr>
              <w:t>二甲苯</w:t>
            </w:r>
          </w:p>
        </w:tc>
        <w:tc>
          <w:tcPr>
            <w:tcW w:w="1286" w:type="dxa"/>
            <w:vMerge w:val="continue"/>
            <w:shd w:val="clear" w:color="auto" w:fill="auto"/>
            <w:noWrap w:val="0"/>
            <w:vAlign w:val="center"/>
          </w:tcPr>
          <w:p>
            <w:pPr>
              <w:ind w:left="0" w:leftChars="0" w:firstLine="0" w:firstLineChars="0"/>
              <w:jc w:val="center"/>
              <w:rPr>
                <w:rFonts w:hint="eastAsia"/>
                <w:bCs/>
                <w:szCs w:val="21"/>
              </w:rPr>
            </w:pPr>
          </w:p>
        </w:tc>
        <w:tc>
          <w:tcPr>
            <w:tcW w:w="2326" w:type="dxa"/>
            <w:shd w:val="clear" w:color="auto" w:fill="auto"/>
            <w:noWrap w:val="0"/>
            <w:vAlign w:val="center"/>
          </w:tcPr>
          <w:p>
            <w:pPr>
              <w:ind w:left="0" w:leftChars="0" w:firstLine="0" w:firstLineChars="0"/>
              <w:jc w:val="center"/>
              <w:rPr>
                <w:rFonts w:hint="eastAsia"/>
                <w:bCs/>
                <w:szCs w:val="21"/>
              </w:rPr>
            </w:pPr>
            <w:r>
              <w:rPr>
                <w:rFonts w:hint="eastAsia"/>
                <w:bCs/>
                <w:szCs w:val="21"/>
              </w:rPr>
              <w:t>排放速率（kg/h）</w:t>
            </w:r>
          </w:p>
        </w:tc>
        <w:tc>
          <w:tcPr>
            <w:tcW w:w="2141" w:type="dxa"/>
            <w:shd w:val="clear" w:color="auto" w:fill="auto"/>
            <w:noWrap w:val="0"/>
            <w:vAlign w:val="center"/>
          </w:tcPr>
          <w:p>
            <w:pPr>
              <w:ind w:firstLine="0" w:firstLineChars="0"/>
              <w:jc w:val="center"/>
              <w:rPr>
                <w:rFonts w:hint="eastAsia"/>
                <w:bCs/>
                <w:szCs w:val="21"/>
              </w:rPr>
            </w:pPr>
            <w:r>
              <w:rPr>
                <w:rFonts w:hint="eastAsia"/>
                <w:bCs/>
                <w:szCs w:val="21"/>
              </w:rPr>
              <w:t>6.99×10</w:t>
            </w:r>
            <w:r>
              <w:rPr>
                <w:rFonts w:hint="eastAsia"/>
                <w:bCs/>
                <w:szCs w:val="21"/>
                <w:vertAlign w:val="superscript"/>
              </w:rPr>
              <w:t>-5</w:t>
            </w:r>
          </w:p>
        </w:tc>
        <w:tc>
          <w:tcPr>
            <w:tcW w:w="2141" w:type="dxa"/>
            <w:shd w:val="clear" w:color="auto" w:fill="auto"/>
            <w:noWrap w:val="0"/>
            <w:vAlign w:val="center"/>
          </w:tcPr>
          <w:p>
            <w:pPr>
              <w:ind w:firstLine="0" w:firstLineChars="0"/>
              <w:jc w:val="center"/>
              <w:rPr>
                <w:rFonts w:hint="eastAsia"/>
                <w:bCs/>
                <w:szCs w:val="21"/>
              </w:rPr>
            </w:pPr>
            <w:r>
              <w:rPr>
                <w:rFonts w:hint="eastAsia"/>
                <w:bCs/>
                <w:szCs w:val="21"/>
              </w:rPr>
              <w:t>1.32×10</w:t>
            </w:r>
            <w:r>
              <w:rPr>
                <w:rFonts w:hint="eastAsia"/>
                <w:bCs/>
                <w:szCs w:val="21"/>
                <w:vertAlign w:val="superscript"/>
              </w:rPr>
              <w:t>-4</w:t>
            </w:r>
          </w:p>
        </w:tc>
        <w:tc>
          <w:tcPr>
            <w:tcW w:w="653" w:type="dxa"/>
            <w:shd w:val="clear" w:color="auto" w:fill="auto"/>
            <w:noWrap w:val="0"/>
            <w:vAlign w:val="center"/>
          </w:tcPr>
          <w:p>
            <w:pPr>
              <w:ind w:firstLine="0" w:firstLineChars="0"/>
              <w:jc w:val="center"/>
              <w:rPr>
                <w:rFonts w:hint="eastAsia"/>
                <w:bCs/>
                <w:szCs w:val="21"/>
              </w:rPr>
            </w:pPr>
            <w:r>
              <w:rPr>
                <w:rFonts w:hint="eastAsia"/>
                <w:bCs/>
                <w:szCs w:val="21"/>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0" w:type="auto"/>
            <w:vMerge w:val="restart"/>
            <w:shd w:val="clear" w:color="auto" w:fill="auto"/>
            <w:noWrap w:val="0"/>
            <w:vAlign w:val="center"/>
          </w:tcPr>
          <w:p>
            <w:pPr>
              <w:ind w:left="0" w:leftChars="0" w:firstLine="0" w:firstLineChars="0"/>
              <w:jc w:val="center"/>
              <w:rPr>
                <w:rFonts w:hint="eastAsia"/>
                <w:bCs/>
                <w:szCs w:val="21"/>
              </w:rPr>
            </w:pPr>
            <w:r>
              <w:rPr>
                <w:rFonts w:hint="eastAsia"/>
                <w:bCs/>
                <w:szCs w:val="21"/>
              </w:rPr>
              <w:t>总VOCs</w:t>
            </w:r>
          </w:p>
        </w:tc>
        <w:tc>
          <w:tcPr>
            <w:tcW w:w="1286" w:type="dxa"/>
            <w:vMerge w:val="restart"/>
            <w:shd w:val="clear" w:color="auto" w:fill="auto"/>
            <w:noWrap w:val="0"/>
            <w:vAlign w:val="center"/>
          </w:tcPr>
          <w:p>
            <w:pPr>
              <w:ind w:left="0" w:leftChars="0" w:firstLine="0" w:firstLineChars="0"/>
              <w:jc w:val="center"/>
              <w:rPr>
                <w:rFonts w:hint="eastAsia"/>
                <w:bCs/>
                <w:szCs w:val="21"/>
              </w:rPr>
            </w:pPr>
            <w:r>
              <w:rPr>
                <w:rFonts w:hint="eastAsia"/>
                <w:bCs/>
                <w:szCs w:val="21"/>
              </w:rPr>
              <w:t>车间废气净化前排放口</w:t>
            </w:r>
          </w:p>
        </w:tc>
        <w:tc>
          <w:tcPr>
            <w:tcW w:w="0" w:type="auto"/>
            <w:shd w:val="clear" w:color="auto" w:fill="auto"/>
            <w:noWrap w:val="0"/>
            <w:vAlign w:val="center"/>
          </w:tcPr>
          <w:p>
            <w:pPr>
              <w:ind w:left="0" w:leftChars="0" w:firstLine="0" w:firstLineChars="0"/>
              <w:jc w:val="center"/>
              <w:rPr>
                <w:rFonts w:hint="eastAsia"/>
                <w:bCs/>
                <w:szCs w:val="21"/>
              </w:rPr>
            </w:pPr>
            <w:r>
              <w:rPr>
                <w:rFonts w:hint="eastAsia"/>
                <w:bCs/>
                <w:szCs w:val="21"/>
              </w:rPr>
              <w:t>排放浓度（mg/m</w:t>
            </w:r>
            <w:r>
              <w:rPr>
                <w:rFonts w:hint="eastAsia"/>
                <w:bCs/>
                <w:szCs w:val="21"/>
                <w:vertAlign w:val="superscript"/>
              </w:rPr>
              <w:t>3</w:t>
            </w:r>
            <w:r>
              <w:rPr>
                <w:rFonts w:hint="eastAsia"/>
                <w:bCs/>
                <w:szCs w:val="21"/>
              </w:rPr>
              <w:t>）</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0.78</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0.80</w:t>
            </w:r>
          </w:p>
        </w:tc>
        <w:tc>
          <w:tcPr>
            <w:tcW w:w="653" w:type="dxa"/>
            <w:vMerge w:val="restart"/>
            <w:shd w:val="clear" w:color="auto" w:fill="auto"/>
            <w:noWrap w:val="0"/>
            <w:vAlign w:val="center"/>
          </w:tcPr>
          <w:p>
            <w:pPr>
              <w:ind w:left="0" w:leftChars="0" w:firstLine="0" w:firstLineChars="0"/>
              <w:jc w:val="center"/>
              <w:rPr>
                <w:rFonts w:hint="default" w:eastAsia="宋体"/>
                <w:bCs/>
                <w:szCs w:val="21"/>
                <w:lang w:val="en-US" w:eastAsia="zh-CN"/>
              </w:rPr>
            </w:pPr>
            <w:r>
              <w:rPr>
                <w:rFonts w:hint="eastAsia"/>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15" w:type="dxa"/>
            <w:vMerge w:val="continue"/>
            <w:shd w:val="clear" w:color="auto" w:fill="auto"/>
            <w:noWrap w:val="0"/>
            <w:vAlign w:val="center"/>
          </w:tcPr>
          <w:p>
            <w:pPr>
              <w:ind w:left="0" w:leftChars="0" w:firstLine="0" w:firstLineChars="0"/>
              <w:jc w:val="center"/>
              <w:rPr>
                <w:rFonts w:hint="eastAsia"/>
                <w:bCs/>
                <w:szCs w:val="21"/>
              </w:rPr>
            </w:pPr>
          </w:p>
        </w:tc>
        <w:tc>
          <w:tcPr>
            <w:tcW w:w="1286" w:type="dxa"/>
            <w:vMerge w:val="continue"/>
            <w:shd w:val="clear" w:color="auto" w:fill="auto"/>
            <w:noWrap w:val="0"/>
            <w:vAlign w:val="center"/>
          </w:tcPr>
          <w:p>
            <w:pPr>
              <w:ind w:left="0" w:leftChars="0" w:firstLine="0" w:firstLineChars="0"/>
              <w:jc w:val="center"/>
              <w:rPr>
                <w:rFonts w:hint="eastAsia"/>
                <w:bCs/>
                <w:szCs w:val="21"/>
              </w:rPr>
            </w:pPr>
          </w:p>
        </w:tc>
        <w:tc>
          <w:tcPr>
            <w:tcW w:w="2326" w:type="dxa"/>
            <w:shd w:val="clear" w:color="auto" w:fill="auto"/>
            <w:noWrap w:val="0"/>
            <w:vAlign w:val="center"/>
          </w:tcPr>
          <w:p>
            <w:pPr>
              <w:ind w:left="0" w:leftChars="0" w:firstLine="0" w:firstLineChars="0"/>
              <w:jc w:val="center"/>
              <w:rPr>
                <w:rFonts w:hint="eastAsia"/>
                <w:bCs/>
                <w:szCs w:val="21"/>
              </w:rPr>
            </w:pPr>
            <w:r>
              <w:rPr>
                <w:rFonts w:hint="eastAsia"/>
                <w:bCs/>
                <w:szCs w:val="21"/>
              </w:rPr>
              <w:t>排放速率（kg/h）</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2.71×10</w:t>
            </w:r>
            <w:r>
              <w:rPr>
                <w:rFonts w:hint="eastAsia"/>
                <w:bCs/>
                <w:szCs w:val="21"/>
                <w:vertAlign w:val="superscript"/>
              </w:rPr>
              <w:t>-3</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3.30×10</w:t>
            </w:r>
            <w:r>
              <w:rPr>
                <w:rFonts w:hint="eastAsia"/>
                <w:bCs/>
                <w:szCs w:val="21"/>
                <w:vertAlign w:val="superscript"/>
              </w:rPr>
              <w:t>-3</w:t>
            </w:r>
          </w:p>
        </w:tc>
        <w:tc>
          <w:tcPr>
            <w:tcW w:w="653" w:type="dxa"/>
            <w:vMerge w:val="continue"/>
            <w:shd w:val="clear" w:color="auto" w:fill="auto"/>
            <w:noWrap w:val="0"/>
            <w:vAlign w:val="center"/>
          </w:tcPr>
          <w:p>
            <w:pPr>
              <w:ind w:left="0" w:leftChars="0" w:firstLine="0" w:firstLineChars="0"/>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15" w:type="dxa"/>
            <w:vMerge w:val="continue"/>
            <w:shd w:val="clear" w:color="auto" w:fill="auto"/>
            <w:noWrap w:val="0"/>
            <w:vAlign w:val="center"/>
          </w:tcPr>
          <w:p>
            <w:pPr>
              <w:ind w:left="0" w:leftChars="0" w:firstLine="0" w:firstLineChars="0"/>
              <w:jc w:val="center"/>
              <w:rPr>
                <w:rFonts w:hint="eastAsia"/>
                <w:bCs/>
                <w:szCs w:val="21"/>
              </w:rPr>
            </w:pPr>
          </w:p>
        </w:tc>
        <w:tc>
          <w:tcPr>
            <w:tcW w:w="1286" w:type="dxa"/>
            <w:vMerge w:val="restart"/>
            <w:shd w:val="clear" w:color="auto" w:fill="auto"/>
            <w:noWrap w:val="0"/>
            <w:vAlign w:val="center"/>
          </w:tcPr>
          <w:p>
            <w:pPr>
              <w:ind w:left="0" w:leftChars="0" w:firstLine="0" w:firstLineChars="0"/>
              <w:jc w:val="center"/>
              <w:rPr>
                <w:rFonts w:hint="eastAsia"/>
                <w:bCs/>
                <w:szCs w:val="21"/>
              </w:rPr>
            </w:pPr>
            <w:r>
              <w:rPr>
                <w:rFonts w:hint="eastAsia"/>
                <w:bCs/>
                <w:szCs w:val="21"/>
              </w:rPr>
              <w:t>车间废气净化后排放口</w:t>
            </w:r>
          </w:p>
        </w:tc>
        <w:tc>
          <w:tcPr>
            <w:tcW w:w="2326" w:type="dxa"/>
            <w:shd w:val="clear" w:color="auto" w:fill="auto"/>
            <w:noWrap w:val="0"/>
            <w:vAlign w:val="center"/>
          </w:tcPr>
          <w:p>
            <w:pPr>
              <w:ind w:left="0" w:leftChars="0" w:firstLine="0" w:firstLineChars="0"/>
              <w:jc w:val="center"/>
              <w:rPr>
                <w:rFonts w:hint="eastAsia"/>
                <w:bCs/>
                <w:szCs w:val="21"/>
              </w:rPr>
            </w:pPr>
            <w:r>
              <w:rPr>
                <w:rFonts w:hint="eastAsia"/>
                <w:bCs/>
                <w:szCs w:val="21"/>
              </w:rPr>
              <w:t>排放浓度（mg/m</w:t>
            </w:r>
            <w:r>
              <w:rPr>
                <w:rFonts w:hint="eastAsia"/>
                <w:bCs/>
                <w:szCs w:val="21"/>
                <w:vertAlign w:val="superscript"/>
              </w:rPr>
              <w:t>3</w:t>
            </w:r>
            <w:r>
              <w:rPr>
                <w:rFonts w:hint="eastAsia"/>
                <w:bCs/>
                <w:szCs w:val="21"/>
              </w:rPr>
              <w:t>）</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0.18</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0.13</w:t>
            </w:r>
          </w:p>
        </w:tc>
        <w:tc>
          <w:tcPr>
            <w:tcW w:w="653" w:type="dxa"/>
            <w:shd w:val="clear" w:color="auto" w:fill="auto"/>
            <w:noWrap w:val="0"/>
            <w:vAlign w:val="center"/>
          </w:tcPr>
          <w:p>
            <w:pPr>
              <w:ind w:left="0" w:leftChars="0" w:firstLine="0" w:firstLineChars="0"/>
              <w:jc w:val="center"/>
              <w:rPr>
                <w:rFonts w:hint="eastAsia"/>
                <w:bCs/>
                <w:szCs w:val="21"/>
              </w:rPr>
            </w:pPr>
            <w:r>
              <w:rPr>
                <w:rFonts w:hint="eastAsia"/>
                <w:bCs/>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15" w:type="dxa"/>
            <w:vMerge w:val="continue"/>
            <w:shd w:val="clear" w:color="auto" w:fill="auto"/>
            <w:noWrap w:val="0"/>
            <w:vAlign w:val="center"/>
          </w:tcPr>
          <w:p>
            <w:pPr>
              <w:ind w:left="0" w:leftChars="0" w:firstLine="0" w:firstLineChars="0"/>
              <w:jc w:val="center"/>
              <w:rPr>
                <w:rFonts w:hint="eastAsia"/>
                <w:bCs/>
                <w:szCs w:val="21"/>
              </w:rPr>
            </w:pPr>
          </w:p>
        </w:tc>
        <w:tc>
          <w:tcPr>
            <w:tcW w:w="1286" w:type="dxa"/>
            <w:vMerge w:val="continue"/>
            <w:shd w:val="clear" w:color="auto" w:fill="auto"/>
            <w:noWrap w:val="0"/>
            <w:vAlign w:val="center"/>
          </w:tcPr>
          <w:p>
            <w:pPr>
              <w:ind w:left="0" w:leftChars="0" w:firstLine="0" w:firstLineChars="0"/>
              <w:jc w:val="center"/>
              <w:rPr>
                <w:rFonts w:hint="eastAsia"/>
                <w:bCs/>
                <w:szCs w:val="21"/>
              </w:rPr>
            </w:pPr>
          </w:p>
        </w:tc>
        <w:tc>
          <w:tcPr>
            <w:tcW w:w="2326" w:type="dxa"/>
            <w:shd w:val="clear" w:color="auto" w:fill="auto"/>
            <w:noWrap w:val="0"/>
            <w:vAlign w:val="center"/>
          </w:tcPr>
          <w:p>
            <w:pPr>
              <w:ind w:left="0" w:leftChars="0" w:firstLine="0" w:firstLineChars="0"/>
              <w:jc w:val="center"/>
              <w:rPr>
                <w:rFonts w:hint="eastAsia"/>
                <w:bCs/>
                <w:szCs w:val="21"/>
              </w:rPr>
            </w:pPr>
            <w:r>
              <w:rPr>
                <w:rFonts w:hint="eastAsia"/>
                <w:bCs/>
                <w:szCs w:val="21"/>
              </w:rPr>
              <w:t>排放速率（kg/h）</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1.26×10</w:t>
            </w:r>
            <w:r>
              <w:rPr>
                <w:rFonts w:hint="eastAsia"/>
                <w:bCs/>
                <w:szCs w:val="21"/>
                <w:vertAlign w:val="superscript"/>
              </w:rPr>
              <w:t>-3</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8.61×10</w:t>
            </w:r>
            <w:r>
              <w:rPr>
                <w:rFonts w:hint="eastAsia"/>
                <w:bCs/>
                <w:szCs w:val="21"/>
                <w:vertAlign w:val="superscript"/>
              </w:rPr>
              <w:t>-4</w:t>
            </w:r>
          </w:p>
        </w:tc>
        <w:tc>
          <w:tcPr>
            <w:tcW w:w="653" w:type="dxa"/>
            <w:shd w:val="clear" w:color="auto" w:fill="auto"/>
            <w:noWrap w:val="0"/>
            <w:vAlign w:val="center"/>
          </w:tcPr>
          <w:p>
            <w:pPr>
              <w:ind w:left="0" w:leftChars="0" w:firstLine="0" w:firstLineChars="0"/>
              <w:jc w:val="center"/>
              <w:rPr>
                <w:rFonts w:hint="eastAsia"/>
                <w:bCs/>
                <w:szCs w:val="21"/>
              </w:rPr>
            </w:pPr>
            <w:r>
              <w:rPr>
                <w:rFonts w:hint="eastAsia"/>
                <w:bCs/>
                <w:szCs w:val="21"/>
              </w:rP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5" w:type="dxa"/>
            <w:vMerge w:val="continue"/>
            <w:shd w:val="clear" w:color="auto" w:fill="auto"/>
            <w:noWrap w:val="0"/>
            <w:vAlign w:val="center"/>
          </w:tcPr>
          <w:p>
            <w:pPr>
              <w:ind w:left="0" w:leftChars="0" w:firstLine="0" w:firstLineChars="0"/>
              <w:jc w:val="center"/>
              <w:rPr>
                <w:rFonts w:hint="eastAsia"/>
                <w:bCs/>
                <w:szCs w:val="21"/>
              </w:rPr>
            </w:pPr>
          </w:p>
        </w:tc>
        <w:tc>
          <w:tcPr>
            <w:tcW w:w="3612" w:type="dxa"/>
            <w:gridSpan w:val="2"/>
            <w:shd w:val="clear" w:color="auto" w:fill="auto"/>
            <w:noWrap w:val="0"/>
            <w:vAlign w:val="center"/>
          </w:tcPr>
          <w:p>
            <w:pPr>
              <w:ind w:left="0" w:leftChars="0" w:firstLine="0" w:firstLineChars="0"/>
              <w:jc w:val="center"/>
              <w:rPr>
                <w:rFonts w:hint="eastAsia"/>
                <w:bCs/>
                <w:szCs w:val="21"/>
              </w:rPr>
            </w:pPr>
            <w:r>
              <w:rPr>
                <w:rFonts w:hint="eastAsia"/>
                <w:bCs/>
                <w:szCs w:val="21"/>
              </w:rPr>
              <w:t>VOCs总去除效率（%）</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76.9</w:t>
            </w:r>
          </w:p>
        </w:tc>
        <w:tc>
          <w:tcPr>
            <w:tcW w:w="2141" w:type="dxa"/>
            <w:shd w:val="clear" w:color="auto" w:fill="auto"/>
            <w:noWrap w:val="0"/>
            <w:vAlign w:val="center"/>
          </w:tcPr>
          <w:p>
            <w:pPr>
              <w:ind w:left="0" w:leftChars="0" w:firstLine="0" w:firstLineChars="0"/>
              <w:jc w:val="center"/>
              <w:rPr>
                <w:rFonts w:hint="eastAsia"/>
                <w:bCs/>
                <w:szCs w:val="21"/>
              </w:rPr>
            </w:pPr>
            <w:r>
              <w:rPr>
                <w:rFonts w:hint="eastAsia"/>
                <w:bCs/>
                <w:szCs w:val="21"/>
              </w:rPr>
              <w:t>83.8</w:t>
            </w:r>
          </w:p>
        </w:tc>
        <w:tc>
          <w:tcPr>
            <w:tcW w:w="653" w:type="dxa"/>
            <w:shd w:val="clear" w:color="auto" w:fill="auto"/>
            <w:noWrap w:val="0"/>
            <w:vAlign w:val="center"/>
          </w:tcPr>
          <w:p>
            <w:pPr>
              <w:ind w:left="0" w:leftChars="0" w:firstLine="0" w:firstLineChars="0"/>
              <w:jc w:val="center"/>
              <w:rPr>
                <w:rFonts w:hint="eastAsia"/>
                <w:bCs/>
                <w:szCs w:val="21"/>
              </w:rPr>
            </w:pPr>
            <w:r>
              <w:rPr>
                <w:rFonts w:hint="eastAsia"/>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jc w:val="center"/>
        </w:trPr>
        <w:tc>
          <w:tcPr>
            <w:tcW w:w="9962" w:type="dxa"/>
            <w:gridSpan w:val="6"/>
            <w:shd w:val="clear" w:color="auto" w:fill="auto"/>
            <w:noWrap w:val="0"/>
            <w:vAlign w:val="center"/>
          </w:tcPr>
          <w:p>
            <w:pPr>
              <w:spacing w:line="240" w:lineRule="auto"/>
              <w:ind w:left="0" w:leftChars="0" w:firstLine="0" w:firstLineChars="0"/>
              <w:jc w:val="both"/>
              <w:rPr>
                <w:rFonts w:hint="eastAsia"/>
                <w:bCs/>
                <w:szCs w:val="21"/>
              </w:rPr>
            </w:pPr>
            <w:r>
              <w:rPr>
                <w:rFonts w:hint="eastAsia"/>
                <w:bCs/>
                <w:sz w:val="21"/>
                <w:szCs w:val="21"/>
              </w:rPr>
              <w:t>说明：</w:t>
            </w:r>
            <w:r>
              <w:rPr>
                <w:rFonts w:hint="eastAsia"/>
                <w:bCs/>
                <w:sz w:val="21"/>
                <w:szCs w:val="21"/>
                <w:lang w:val="en-US" w:eastAsia="zh-CN"/>
              </w:rPr>
              <w:t>1、</w:t>
            </w:r>
            <w:r>
              <w:rPr>
                <w:rFonts w:hint="eastAsia"/>
                <w:bCs/>
                <w:sz w:val="21"/>
                <w:szCs w:val="21"/>
              </w:rPr>
              <w:t>排气筒高度：20米；</w:t>
            </w:r>
            <w:r>
              <w:rPr>
                <w:rFonts w:hint="eastAsia"/>
                <w:bCs/>
                <w:sz w:val="21"/>
                <w:szCs w:val="21"/>
                <w:lang w:val="en-US" w:eastAsia="zh-CN"/>
              </w:rPr>
              <w:t>2、</w:t>
            </w:r>
            <w:r>
              <w:rPr>
                <w:rFonts w:hint="eastAsia"/>
                <w:bCs/>
                <w:sz w:val="21"/>
                <w:szCs w:val="21"/>
              </w:rPr>
              <w:t>废气排放速率标准限值按排气筒高度20米折算后限值的50%执行。</w:t>
            </w:r>
          </w:p>
        </w:tc>
      </w:tr>
    </w:tbl>
    <w:p>
      <w:pPr>
        <w:pStyle w:val="2"/>
        <w:jc w:val="center"/>
        <w:rPr>
          <w:rFonts w:hint="default" w:eastAsia="黑体" w:cs="黑体"/>
          <w:b w:val="0"/>
          <w:bCs w:val="0"/>
          <w:color w:val="000000"/>
          <w:kern w:val="2"/>
          <w:sz w:val="24"/>
          <w:szCs w:val="24"/>
          <w:lang w:val="en-US" w:eastAsia="zh-CN" w:bidi="ar-SA"/>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254"/>
    <w:bookmarkEnd w:id="255"/>
    <w:bookmarkEnd w:id="256"/>
    <w:bookmarkEnd w:id="257"/>
    <w:bookmarkEnd w:id="258"/>
    <w:bookmarkEnd w:id="259"/>
    <w:p>
      <w:pPr>
        <w:pStyle w:val="2"/>
        <w:spacing w:line="480" w:lineRule="auto"/>
        <w:jc w:val="both"/>
        <w:outlineLvl w:val="1"/>
        <w:rPr>
          <w:rFonts w:hint="eastAsia"/>
        </w:rPr>
      </w:pPr>
      <w:bookmarkStart w:id="260" w:name="_Toc26595"/>
      <w:r>
        <w:rPr>
          <w:rStyle w:val="29"/>
          <w:rFonts w:hint="eastAsia"/>
          <w:lang w:val="en-US" w:eastAsia="zh-CN"/>
        </w:rPr>
        <w:t>10</w:t>
      </w:r>
      <w:r>
        <w:rPr>
          <w:rStyle w:val="29"/>
        </w:rPr>
        <w:t>.</w:t>
      </w:r>
      <w:r>
        <w:rPr>
          <w:rStyle w:val="29"/>
          <w:rFonts w:hint="eastAsia"/>
          <w:lang w:val="en-US" w:eastAsia="zh-CN"/>
        </w:rPr>
        <w:t>3</w:t>
      </w:r>
      <w:r>
        <w:rPr>
          <w:rStyle w:val="29"/>
          <w:rFonts w:hint="eastAsia"/>
          <w:lang w:eastAsia="zh-CN"/>
        </w:rPr>
        <w:t>厂界噪声</w:t>
      </w:r>
      <w:r>
        <w:rPr>
          <w:rStyle w:val="29"/>
        </w:rPr>
        <w:t>监测</w:t>
      </w:r>
      <w:bookmarkEnd w:id="260"/>
    </w:p>
    <w:p>
      <w:pPr>
        <w:ind w:left="0" w:leftChars="0" w:firstLine="0" w:firstLineChars="0"/>
        <w:rPr>
          <w:rFonts w:hint="eastAsia"/>
        </w:rPr>
      </w:pPr>
      <w:r>
        <w:rPr>
          <w:rFonts w:hint="eastAsia"/>
        </w:rPr>
        <w:t>项目噪声监测结果见表</w:t>
      </w:r>
      <w:r>
        <w:rPr>
          <w:rFonts w:hint="eastAsia"/>
          <w:lang w:val="en-US" w:eastAsia="zh-CN"/>
        </w:rPr>
        <w:t>10</w:t>
      </w:r>
      <w:r>
        <w:rPr>
          <w:rFonts w:hint="eastAsia"/>
        </w:rPr>
        <w:t>.3-1：</w:t>
      </w:r>
    </w:p>
    <w:p>
      <w:pPr>
        <w:ind w:left="0" w:leftChars="0" w:firstLine="0" w:firstLineChars="0"/>
        <w:jc w:val="center"/>
        <w:rPr>
          <w:rFonts w:hint="eastAsia" w:ascii="黑体" w:hAnsi="黑体" w:eastAsia="黑体" w:cs="黑体"/>
          <w:b w:val="0"/>
          <w:bCs w:val="0"/>
          <w:color w:val="000000"/>
          <w:kern w:val="0"/>
          <w:sz w:val="24"/>
          <w:szCs w:val="24"/>
          <w:lang w:val="en-US" w:eastAsia="zh-CN" w:bidi="ar-SA"/>
        </w:rPr>
      </w:pPr>
      <w:r>
        <w:rPr>
          <w:rFonts w:hint="eastAsia" w:ascii="黑体" w:hAnsi="黑体" w:eastAsia="黑体" w:cs="黑体"/>
          <w:b w:val="0"/>
          <w:bCs w:val="0"/>
          <w:color w:val="000000"/>
          <w:kern w:val="0"/>
          <w:sz w:val="24"/>
          <w:szCs w:val="24"/>
          <w:lang w:val="en-US" w:eastAsia="zh-CN" w:bidi="ar-SA"/>
        </w:rPr>
        <w:t>表10.3-1 噪声监测结果</w:t>
      </w:r>
      <w:bookmarkStart w:id="261" w:name="_Toc29679"/>
      <w:bookmarkStart w:id="262" w:name="_Toc30334_WPSOffice_Level1"/>
      <w:bookmarkStart w:id="263" w:name="_Toc11275"/>
      <w:bookmarkStart w:id="264" w:name="_Toc30508_WPSOffice_Level1"/>
      <w:bookmarkStart w:id="265" w:name="_Toc19543_WPSOffice_Level1"/>
      <w:bookmarkStart w:id="266" w:name="_Toc18257"/>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786"/>
        <w:gridCol w:w="1276"/>
        <w:gridCol w:w="850"/>
        <w:gridCol w:w="851"/>
        <w:gridCol w:w="850"/>
        <w:gridCol w:w="426"/>
        <w:gridCol w:w="425"/>
        <w:gridCol w:w="850"/>
        <w:gridCol w:w="851"/>
        <w:gridCol w:w="709"/>
        <w:gridCol w:w="709"/>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4" w:hRule="atLeast"/>
          <w:jc w:val="center"/>
        </w:trPr>
        <w:tc>
          <w:tcPr>
            <w:tcW w:w="5495" w:type="dxa"/>
            <w:gridSpan w:val="7"/>
            <w:shd w:val="clear" w:color="auto" w:fill="auto"/>
            <w:noWrap w:val="0"/>
            <w:vAlign w:val="center"/>
          </w:tcPr>
          <w:p>
            <w:pPr>
              <w:bidi w:val="0"/>
              <w:ind w:left="0" w:leftChars="0" w:firstLine="0" w:firstLineChars="0"/>
              <w:jc w:val="both"/>
              <w:rPr>
                <w:b/>
                <w:bCs/>
              </w:rPr>
            </w:pPr>
            <w:r>
              <w:rPr>
                <w:b/>
                <w:bCs/>
              </w:rPr>
              <w:t>检测</w:t>
            </w:r>
            <w:r>
              <w:rPr>
                <w:rFonts w:hint="eastAsia"/>
                <w:b/>
                <w:bCs/>
                <w:lang w:eastAsia="zh-CN"/>
              </w:rPr>
              <w:t>状况</w:t>
            </w:r>
            <w:r>
              <w:rPr>
                <w:b/>
                <w:bCs/>
              </w:rPr>
              <w:t>：</w:t>
            </w:r>
          </w:p>
          <w:p>
            <w:pPr>
              <w:bidi w:val="0"/>
              <w:ind w:left="0" w:leftChars="0" w:firstLine="0" w:firstLineChars="0"/>
              <w:jc w:val="both"/>
              <w:rPr>
                <w:b/>
                <w:bCs/>
              </w:rPr>
            </w:pPr>
            <w:r>
              <w:rPr>
                <w:rFonts w:hint="eastAsia"/>
                <w:b w:val="0"/>
                <w:bCs w:val="0"/>
                <w:lang w:eastAsia="zh-CN"/>
              </w:rPr>
              <w:t>天气：</w:t>
            </w:r>
            <w:r>
              <w:rPr>
                <w:rFonts w:hint="eastAsia"/>
              </w:rPr>
              <w:t>晴</w:t>
            </w:r>
          </w:p>
          <w:p>
            <w:pPr>
              <w:bidi w:val="0"/>
              <w:ind w:left="0" w:leftChars="0" w:firstLine="0" w:firstLineChars="0"/>
              <w:jc w:val="both"/>
              <w:rPr>
                <w:rFonts w:hint="eastAsia"/>
              </w:rPr>
            </w:pPr>
            <w:r>
              <w:rPr>
                <w:rFonts w:hint="eastAsia"/>
                <w:lang w:eastAsia="zh-CN"/>
              </w:rPr>
              <w:t>日期：</w:t>
            </w:r>
            <w:r>
              <w:rPr>
                <w:rFonts w:hint="eastAsia"/>
              </w:rPr>
              <w:t>20</w:t>
            </w:r>
            <w:r>
              <w:t>20</w:t>
            </w:r>
            <w:r>
              <w:rPr>
                <w:rFonts w:hint="eastAsia"/>
              </w:rPr>
              <w:t>年</w:t>
            </w:r>
            <w:r>
              <w:t>06</w:t>
            </w:r>
            <w:r>
              <w:rPr>
                <w:rFonts w:hint="eastAsia"/>
              </w:rPr>
              <w:t>月</w:t>
            </w:r>
            <w:r>
              <w:t>20</w:t>
            </w:r>
            <w:r>
              <w:rPr>
                <w:rFonts w:hint="eastAsia"/>
              </w:rPr>
              <w:t>日9:</w:t>
            </w:r>
            <w:r>
              <w:t>30</w:t>
            </w:r>
            <w:r>
              <w:rPr>
                <w:rFonts w:hint="eastAsia"/>
              </w:rPr>
              <w:t>~</w:t>
            </w:r>
            <w:r>
              <w:t>10</w:t>
            </w:r>
            <w:r>
              <w:rPr>
                <w:rFonts w:hint="eastAsia"/>
              </w:rPr>
              <w:t>:</w:t>
            </w:r>
            <w:r>
              <w:t>50</w:t>
            </w:r>
            <w:r>
              <w:rPr>
                <w:rFonts w:hint="eastAsia"/>
              </w:rPr>
              <w:t>、2</w:t>
            </w:r>
            <w:r>
              <w:t>2</w:t>
            </w:r>
            <w:r>
              <w:rPr>
                <w:rFonts w:hint="eastAsia"/>
              </w:rPr>
              <w:t>:</w:t>
            </w:r>
            <w:r>
              <w:t>00</w:t>
            </w:r>
            <w:r>
              <w:rPr>
                <w:rFonts w:hint="eastAsia"/>
              </w:rPr>
              <w:t>~</w:t>
            </w:r>
            <w:r>
              <w:t>23</w:t>
            </w:r>
            <w:r>
              <w:rPr>
                <w:rFonts w:hint="eastAsia"/>
              </w:rPr>
              <w:t>:</w:t>
            </w:r>
            <w:r>
              <w:t>00</w:t>
            </w:r>
            <w:r>
              <w:rPr>
                <w:rFonts w:hint="eastAsia"/>
              </w:rPr>
              <w:t>；</w:t>
            </w:r>
          </w:p>
          <w:p>
            <w:pPr>
              <w:bidi w:val="0"/>
              <w:ind w:firstLine="720" w:firstLineChars="300"/>
              <w:jc w:val="both"/>
              <w:rPr>
                <w:rFonts w:hint="eastAsia"/>
              </w:rPr>
            </w:pPr>
            <w:r>
              <w:rPr>
                <w:rFonts w:hint="eastAsia"/>
              </w:rPr>
              <w:t>20</w:t>
            </w:r>
            <w:r>
              <w:t>20</w:t>
            </w:r>
            <w:r>
              <w:rPr>
                <w:rFonts w:hint="eastAsia"/>
              </w:rPr>
              <w:t>年</w:t>
            </w:r>
            <w:r>
              <w:t>06</w:t>
            </w:r>
            <w:r>
              <w:rPr>
                <w:rFonts w:hint="eastAsia"/>
              </w:rPr>
              <w:t>月</w:t>
            </w:r>
            <w:r>
              <w:t>22</w:t>
            </w:r>
            <w:r>
              <w:rPr>
                <w:rFonts w:hint="eastAsia"/>
              </w:rPr>
              <w:t>日9:</w:t>
            </w:r>
            <w:r>
              <w:t>30</w:t>
            </w:r>
            <w:r>
              <w:rPr>
                <w:rFonts w:hint="eastAsia"/>
              </w:rPr>
              <w:t>~</w:t>
            </w:r>
            <w:r>
              <w:t>10</w:t>
            </w:r>
            <w:r>
              <w:rPr>
                <w:rFonts w:hint="eastAsia"/>
              </w:rPr>
              <w:t>:</w:t>
            </w:r>
            <w:r>
              <w:t>30</w:t>
            </w:r>
            <w:r>
              <w:rPr>
                <w:rFonts w:hint="eastAsia"/>
              </w:rPr>
              <w:t>、2</w:t>
            </w:r>
            <w:r>
              <w:t>2</w:t>
            </w:r>
            <w:r>
              <w:rPr>
                <w:rFonts w:hint="eastAsia"/>
              </w:rPr>
              <w:t>:</w:t>
            </w:r>
            <w:r>
              <w:t>00</w:t>
            </w:r>
            <w:r>
              <w:rPr>
                <w:rFonts w:hint="eastAsia"/>
              </w:rPr>
              <w:t>~</w:t>
            </w:r>
            <w:r>
              <w:t>23</w:t>
            </w:r>
            <w:r>
              <w:rPr>
                <w:rFonts w:hint="eastAsia"/>
              </w:rPr>
              <w:t>:</w:t>
            </w:r>
            <w:r>
              <w:t>00</w:t>
            </w:r>
            <w:r>
              <w:rPr>
                <w:rFonts w:hint="eastAsia"/>
              </w:rPr>
              <w:t>。</w:t>
            </w:r>
          </w:p>
          <w:p>
            <w:pPr>
              <w:bidi w:val="0"/>
              <w:ind w:left="0" w:leftChars="0" w:firstLine="0" w:firstLineChars="0"/>
              <w:jc w:val="both"/>
            </w:pPr>
            <w:r>
              <w:rPr>
                <w:rFonts w:hint="eastAsia"/>
              </w:rPr>
              <w:t>风速：</w:t>
            </w:r>
            <w:r>
              <w:t>6</w:t>
            </w:r>
            <w:r>
              <w:rPr>
                <w:rFonts w:hint="eastAsia"/>
              </w:rPr>
              <w:t>月</w:t>
            </w:r>
            <w:r>
              <w:t>20</w:t>
            </w:r>
            <w:r>
              <w:rPr>
                <w:rFonts w:hint="eastAsia"/>
              </w:rPr>
              <w:t>号昼间：</w:t>
            </w:r>
            <w:r>
              <w:t>3.6</w:t>
            </w:r>
            <w:r>
              <w:rPr>
                <w:rFonts w:hint="eastAsia"/>
              </w:rPr>
              <w:t>m</w:t>
            </w:r>
            <w:r>
              <w:t>/</w:t>
            </w:r>
            <w:r>
              <w:rPr>
                <w:rFonts w:hint="eastAsia"/>
              </w:rPr>
              <w:t>s 、夜间：</w:t>
            </w:r>
            <w:r>
              <w:t>1.8</w:t>
            </w:r>
            <w:r>
              <w:rPr>
                <w:rFonts w:hint="eastAsia"/>
              </w:rPr>
              <w:t>m</w:t>
            </w:r>
            <w:r>
              <w:t>/</w:t>
            </w:r>
            <w:r>
              <w:rPr>
                <w:rFonts w:hint="eastAsia"/>
              </w:rPr>
              <w:t>s；</w:t>
            </w:r>
            <w:r>
              <w:t xml:space="preserve">     </w:t>
            </w:r>
            <w:r>
              <w:rPr>
                <w:rFonts w:hint="eastAsia"/>
                <w:lang w:val="en-US" w:eastAsia="zh-CN"/>
              </w:rPr>
              <w:t xml:space="preserve">   </w:t>
            </w:r>
            <w:r>
              <w:t>6</w:t>
            </w:r>
            <w:r>
              <w:rPr>
                <w:rFonts w:hint="eastAsia"/>
              </w:rPr>
              <w:t>月</w:t>
            </w:r>
            <w:r>
              <w:t>22</w:t>
            </w:r>
            <w:r>
              <w:rPr>
                <w:rFonts w:hint="eastAsia"/>
              </w:rPr>
              <w:t>号昼间：</w:t>
            </w:r>
            <w:r>
              <w:t>4.3</w:t>
            </w:r>
            <w:r>
              <w:rPr>
                <w:rFonts w:hint="eastAsia"/>
              </w:rPr>
              <w:t>m</w:t>
            </w:r>
            <w:r>
              <w:t>/</w:t>
            </w:r>
            <w:r>
              <w:rPr>
                <w:rFonts w:hint="eastAsia"/>
              </w:rPr>
              <w:t>s 、夜间：</w:t>
            </w:r>
            <w:r>
              <w:t>2.1</w:t>
            </w:r>
            <w:r>
              <w:rPr>
                <w:rFonts w:hint="eastAsia"/>
              </w:rPr>
              <w:t>m</w:t>
            </w:r>
            <w:r>
              <w:t>/</w:t>
            </w:r>
            <w:r>
              <w:rPr>
                <w:rFonts w:hint="eastAsia"/>
              </w:rPr>
              <w:t>s；</w:t>
            </w:r>
          </w:p>
        </w:tc>
        <w:tc>
          <w:tcPr>
            <w:tcW w:w="4359" w:type="dxa"/>
            <w:gridSpan w:val="6"/>
            <w:shd w:val="clear" w:color="auto" w:fill="auto"/>
            <w:noWrap w:val="0"/>
            <w:vAlign w:val="top"/>
          </w:tcPr>
          <w:p>
            <w:pPr>
              <w:spacing w:line="360" w:lineRule="auto"/>
              <w:ind w:left="0" w:leftChars="0" w:firstLine="0" w:firstLineChars="0"/>
              <w:jc w:val="both"/>
              <w:rPr>
                <w:rFonts w:hint="eastAsia"/>
                <w:b/>
                <w:bCs/>
              </w:rPr>
            </w:pPr>
            <w:r>
              <w:rPr>
                <w:rFonts w:hint="eastAsia"/>
                <w:b/>
                <w:bCs/>
              </w:rPr>
              <w:drawing>
                <wp:inline distT="0" distB="0" distL="114300" distR="114300">
                  <wp:extent cx="2628900" cy="1466850"/>
                  <wp:effectExtent l="0" t="0" r="0" b="0"/>
                  <wp:docPr id="7" name="图片 2"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无标题"/>
                          <pic:cNvPicPr>
                            <a:picLocks noChangeAspect="1"/>
                          </pic:cNvPicPr>
                        </pic:nvPicPr>
                        <pic:blipFill>
                          <a:blip r:embed="rId9"/>
                          <a:stretch>
                            <a:fillRect/>
                          </a:stretch>
                        </pic:blipFill>
                        <pic:spPr>
                          <a:xfrm>
                            <a:off x="0" y="0"/>
                            <a:ext cx="2628900" cy="1466850"/>
                          </a:xfrm>
                          <a:prstGeom prst="rect">
                            <a:avLst/>
                          </a:prstGeom>
                          <a:noFill/>
                          <a:ln>
                            <a:noFill/>
                          </a:ln>
                        </pic:spPr>
                      </pic:pic>
                    </a:graphicData>
                  </a:graphic>
                </wp:inline>
              </w:drawing>
            </w:r>
          </w:p>
          <w:p>
            <w:pPr>
              <w:spacing w:line="360" w:lineRule="auto"/>
              <w:ind w:left="480" w:leftChars="200" w:firstLine="964" w:firstLineChars="400"/>
              <w:rPr>
                <w:rFonts w:hint="eastAsia"/>
                <w:bCs/>
              </w:rPr>
            </w:pPr>
            <w:r>
              <w:rPr>
                <w:rFonts w:hint="eastAsia"/>
                <w:b/>
                <w:bCs/>
              </w:rPr>
              <w:t>检测点位示意图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854" w:type="dxa"/>
            <w:gridSpan w:val="13"/>
            <w:shd w:val="clear" w:color="auto" w:fill="auto"/>
            <w:noWrap w:val="0"/>
            <w:vAlign w:val="top"/>
          </w:tcPr>
          <w:p>
            <w:pPr>
              <w:spacing w:line="276" w:lineRule="auto"/>
              <w:ind w:left="0" w:leftChars="0" w:firstLine="0" w:firstLineChars="0"/>
              <w:rPr>
                <w:b/>
                <w:bCs w:val="0"/>
                <w:szCs w:val="21"/>
              </w:rPr>
            </w:pPr>
            <w:r>
              <w:rPr>
                <w:rFonts w:hint="eastAsia"/>
                <w:b/>
                <w:bCs w:val="0"/>
                <w:szCs w:val="21"/>
              </w:rPr>
              <w:t>执行标准：</w:t>
            </w:r>
          </w:p>
          <w:p>
            <w:pPr>
              <w:spacing w:line="276" w:lineRule="auto"/>
              <w:ind w:left="0" w:leftChars="0" w:firstLine="0" w:firstLineChars="0"/>
              <w:rPr>
                <w:rFonts w:hint="eastAsia"/>
                <w:bCs/>
                <w:szCs w:val="21"/>
              </w:rPr>
            </w:pPr>
            <w:r>
              <w:rPr>
                <w:rFonts w:hint="eastAsia"/>
                <w:szCs w:val="21"/>
              </w:rPr>
              <w:t>《工业企业厂界环境噪声排放标准》（</w:t>
            </w:r>
            <w:r>
              <w:rPr>
                <w:szCs w:val="21"/>
              </w:rPr>
              <w:t>GB 12348-2008</w:t>
            </w:r>
            <w:r>
              <w:rPr>
                <w:rFonts w:hint="eastAsia"/>
                <w:szCs w:val="21"/>
              </w:rPr>
              <w:t>）中</w:t>
            </w:r>
            <w:r>
              <w:rPr>
                <w:rFonts w:hint="eastAsia"/>
                <w:bCs/>
                <w:szCs w:val="21"/>
              </w:rPr>
              <w:t>表1列出的</w:t>
            </w:r>
            <w:r>
              <w:rPr>
                <w:bCs/>
                <w:szCs w:val="21"/>
              </w:rPr>
              <w:t>3</w:t>
            </w:r>
            <w:r>
              <w:rPr>
                <w:rFonts w:hint="eastAsia"/>
                <w:bCs/>
                <w:szCs w:val="21"/>
              </w:rPr>
              <w:t>类区标准限值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9854" w:type="dxa"/>
            <w:gridSpan w:val="13"/>
            <w:shd w:val="clear" w:color="auto" w:fill="auto"/>
            <w:noWrap w:val="0"/>
            <w:vAlign w:val="top"/>
          </w:tcPr>
          <w:p>
            <w:pPr>
              <w:spacing w:line="276" w:lineRule="auto"/>
              <w:jc w:val="center"/>
              <w:rPr>
                <w:rFonts w:hint="eastAsia"/>
                <w:bCs/>
                <w:szCs w:val="21"/>
              </w:rPr>
            </w:pPr>
            <w:r>
              <w:rPr>
                <w:rFonts w:hint="eastAsia"/>
                <w:bCs/>
                <w:szCs w:val="21"/>
              </w:rPr>
              <w:t>噪声检测结果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456" w:type="dxa"/>
            <w:vMerge w:val="restart"/>
            <w:shd w:val="clear" w:color="auto" w:fill="auto"/>
            <w:noWrap w:val="0"/>
            <w:vAlign w:val="center"/>
          </w:tcPr>
          <w:p>
            <w:pPr>
              <w:bidi w:val="0"/>
              <w:ind w:left="0" w:leftChars="0" w:firstLine="0" w:firstLineChars="0"/>
              <w:jc w:val="center"/>
              <w:rPr>
                <w:rFonts w:hint="eastAsia"/>
              </w:rPr>
            </w:pPr>
            <w:r>
              <w:rPr>
                <w:rFonts w:hint="eastAsia"/>
              </w:rPr>
              <w:t>序</w:t>
            </w:r>
          </w:p>
          <w:p>
            <w:pPr>
              <w:bidi w:val="0"/>
              <w:ind w:left="0" w:leftChars="0" w:firstLine="0" w:firstLineChars="0"/>
              <w:jc w:val="center"/>
              <w:rPr>
                <w:rFonts w:hint="eastAsia"/>
              </w:rPr>
            </w:pPr>
            <w:r>
              <w:rPr>
                <w:rFonts w:hint="eastAsia"/>
              </w:rPr>
              <w:t>号</w:t>
            </w:r>
          </w:p>
        </w:tc>
        <w:tc>
          <w:tcPr>
            <w:tcW w:w="786" w:type="dxa"/>
            <w:vMerge w:val="restart"/>
            <w:shd w:val="clear" w:color="auto" w:fill="auto"/>
            <w:noWrap w:val="0"/>
            <w:vAlign w:val="center"/>
          </w:tcPr>
          <w:p>
            <w:pPr>
              <w:bidi w:val="0"/>
              <w:ind w:left="0" w:leftChars="0" w:firstLine="0" w:firstLineChars="0"/>
              <w:jc w:val="center"/>
              <w:rPr>
                <w:rFonts w:hint="eastAsia"/>
              </w:rPr>
            </w:pPr>
            <w:r>
              <w:rPr>
                <w:rFonts w:hint="eastAsia"/>
              </w:rPr>
              <w:t>检 测点 位</w:t>
            </w:r>
          </w:p>
        </w:tc>
        <w:tc>
          <w:tcPr>
            <w:tcW w:w="1276" w:type="dxa"/>
            <w:vMerge w:val="restart"/>
            <w:shd w:val="clear" w:color="auto" w:fill="auto"/>
            <w:noWrap w:val="0"/>
            <w:vAlign w:val="center"/>
          </w:tcPr>
          <w:p>
            <w:pPr>
              <w:bidi w:val="0"/>
              <w:ind w:left="0" w:leftChars="0" w:firstLine="0" w:firstLineChars="0"/>
              <w:jc w:val="center"/>
              <w:rPr>
                <w:rFonts w:hint="eastAsia"/>
              </w:rPr>
            </w:pPr>
            <w:r>
              <w:rPr>
                <w:rFonts w:hint="eastAsia"/>
              </w:rPr>
              <w:t>检测时间</w:t>
            </w:r>
          </w:p>
        </w:tc>
        <w:tc>
          <w:tcPr>
            <w:tcW w:w="5103" w:type="dxa"/>
            <w:gridSpan w:val="7"/>
            <w:shd w:val="clear" w:color="auto" w:fill="auto"/>
            <w:noWrap w:val="0"/>
            <w:vAlign w:val="center"/>
          </w:tcPr>
          <w:p>
            <w:pPr>
              <w:bidi w:val="0"/>
              <w:ind w:left="0" w:leftChars="0" w:firstLine="0" w:firstLineChars="0"/>
              <w:jc w:val="center"/>
              <w:rPr>
                <w:rFonts w:hint="eastAsia"/>
              </w:rPr>
            </w:pPr>
            <w:r>
              <w:rPr>
                <w:rFonts w:hint="eastAsia"/>
              </w:rPr>
              <w:t>噪声强度LeqdB（A）</w:t>
            </w:r>
          </w:p>
        </w:tc>
        <w:tc>
          <w:tcPr>
            <w:tcW w:w="1418" w:type="dxa"/>
            <w:gridSpan w:val="2"/>
            <w:vMerge w:val="restart"/>
            <w:shd w:val="clear" w:color="auto" w:fill="auto"/>
            <w:noWrap w:val="0"/>
            <w:vAlign w:val="center"/>
          </w:tcPr>
          <w:p>
            <w:pPr>
              <w:bidi w:val="0"/>
              <w:ind w:left="0" w:leftChars="0" w:firstLine="0" w:firstLineChars="0"/>
              <w:jc w:val="center"/>
              <w:rPr>
                <w:rFonts w:hint="eastAsia"/>
              </w:rPr>
            </w:pPr>
            <w:r>
              <w:rPr>
                <w:rFonts w:hint="eastAsia"/>
              </w:rPr>
              <w:t>排放限值</w:t>
            </w:r>
          </w:p>
          <w:p>
            <w:pPr>
              <w:bidi w:val="0"/>
              <w:ind w:left="0" w:leftChars="0" w:firstLine="0" w:firstLineChars="0"/>
              <w:jc w:val="center"/>
              <w:rPr>
                <w:rFonts w:hint="eastAsia"/>
              </w:rPr>
            </w:pPr>
            <w:r>
              <w:rPr>
                <w:rFonts w:hint="eastAsia"/>
              </w:rPr>
              <w:t>Leq dB(A)</w:t>
            </w:r>
          </w:p>
        </w:tc>
        <w:tc>
          <w:tcPr>
            <w:tcW w:w="815" w:type="dxa"/>
            <w:vMerge w:val="restart"/>
            <w:shd w:val="clear" w:color="auto" w:fill="auto"/>
            <w:noWrap w:val="0"/>
            <w:vAlign w:val="center"/>
          </w:tcPr>
          <w:p>
            <w:pPr>
              <w:bidi w:val="0"/>
              <w:ind w:left="0" w:leftChars="0" w:firstLine="0" w:firstLineChars="0"/>
              <w:jc w:val="center"/>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56" w:type="dxa"/>
            <w:vMerge w:val="continue"/>
            <w:shd w:val="clear" w:color="auto" w:fill="auto"/>
            <w:noWrap w:val="0"/>
            <w:vAlign w:val="center"/>
          </w:tcPr>
          <w:p>
            <w:pPr>
              <w:bidi w:val="0"/>
              <w:ind w:left="0" w:leftChars="0" w:firstLine="0" w:firstLineChars="0"/>
              <w:jc w:val="center"/>
              <w:rPr>
                <w:rFonts w:hint="eastAsia"/>
              </w:rPr>
            </w:pPr>
          </w:p>
        </w:tc>
        <w:tc>
          <w:tcPr>
            <w:tcW w:w="786" w:type="dxa"/>
            <w:vMerge w:val="continue"/>
            <w:shd w:val="clear" w:color="auto" w:fill="auto"/>
            <w:noWrap w:val="0"/>
            <w:vAlign w:val="center"/>
          </w:tcPr>
          <w:p>
            <w:pPr>
              <w:bidi w:val="0"/>
              <w:ind w:left="0" w:leftChars="0" w:firstLine="0" w:firstLineChars="0"/>
              <w:jc w:val="center"/>
              <w:rPr>
                <w:rFonts w:hint="eastAsia"/>
              </w:rPr>
            </w:pPr>
          </w:p>
        </w:tc>
        <w:tc>
          <w:tcPr>
            <w:tcW w:w="1276" w:type="dxa"/>
            <w:vMerge w:val="continue"/>
            <w:shd w:val="clear" w:color="auto" w:fill="auto"/>
            <w:noWrap w:val="0"/>
            <w:vAlign w:val="center"/>
          </w:tcPr>
          <w:p>
            <w:pPr>
              <w:bidi w:val="0"/>
              <w:ind w:left="0" w:leftChars="0" w:firstLine="0" w:firstLineChars="0"/>
              <w:jc w:val="center"/>
              <w:rPr>
                <w:rFonts w:hint="eastAsia"/>
              </w:rPr>
            </w:pPr>
          </w:p>
        </w:tc>
        <w:tc>
          <w:tcPr>
            <w:tcW w:w="2551" w:type="dxa"/>
            <w:gridSpan w:val="3"/>
            <w:shd w:val="clear" w:color="auto" w:fill="auto"/>
            <w:noWrap w:val="0"/>
            <w:vAlign w:val="center"/>
          </w:tcPr>
          <w:p>
            <w:pPr>
              <w:bidi w:val="0"/>
              <w:ind w:left="0" w:leftChars="0" w:firstLine="0" w:firstLineChars="0"/>
              <w:jc w:val="center"/>
              <w:rPr>
                <w:rFonts w:hint="eastAsia"/>
              </w:rPr>
            </w:pPr>
            <w:r>
              <w:rPr>
                <w:rFonts w:hint="eastAsia"/>
              </w:rPr>
              <w:t>昼间</w:t>
            </w:r>
          </w:p>
        </w:tc>
        <w:tc>
          <w:tcPr>
            <w:tcW w:w="2552" w:type="dxa"/>
            <w:gridSpan w:val="4"/>
            <w:shd w:val="clear" w:color="auto" w:fill="auto"/>
            <w:noWrap w:val="0"/>
            <w:vAlign w:val="center"/>
          </w:tcPr>
          <w:p>
            <w:pPr>
              <w:bidi w:val="0"/>
              <w:ind w:left="0" w:leftChars="0" w:firstLine="0" w:firstLineChars="0"/>
              <w:jc w:val="center"/>
              <w:rPr>
                <w:rFonts w:hint="eastAsia"/>
              </w:rPr>
            </w:pPr>
            <w:r>
              <w:rPr>
                <w:rFonts w:hint="eastAsia"/>
              </w:rPr>
              <w:t>夜间</w:t>
            </w:r>
          </w:p>
        </w:tc>
        <w:tc>
          <w:tcPr>
            <w:tcW w:w="1418" w:type="dxa"/>
            <w:gridSpan w:val="2"/>
            <w:vMerge w:val="continue"/>
            <w:shd w:val="clear" w:color="auto" w:fill="auto"/>
            <w:noWrap w:val="0"/>
            <w:vAlign w:val="center"/>
          </w:tcPr>
          <w:p>
            <w:pPr>
              <w:bidi w:val="0"/>
              <w:ind w:left="0" w:leftChars="0" w:firstLine="0" w:firstLineChars="0"/>
              <w:jc w:val="center"/>
              <w:rPr>
                <w:rFonts w:hint="eastAsia"/>
              </w:rPr>
            </w:pPr>
          </w:p>
        </w:tc>
        <w:tc>
          <w:tcPr>
            <w:tcW w:w="815" w:type="dxa"/>
            <w:vMerge w:val="continue"/>
            <w:shd w:val="clear" w:color="auto" w:fill="auto"/>
            <w:noWrap w:val="0"/>
            <w:vAlign w:val="center"/>
          </w:tcPr>
          <w:p>
            <w:pPr>
              <w:bidi w:val="0"/>
              <w:ind w:left="0" w:leftChars="0" w:firstLine="0" w:firstLineChars="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456" w:type="dxa"/>
            <w:vMerge w:val="continue"/>
            <w:shd w:val="clear" w:color="auto" w:fill="auto"/>
            <w:noWrap w:val="0"/>
            <w:vAlign w:val="center"/>
          </w:tcPr>
          <w:p>
            <w:pPr>
              <w:bidi w:val="0"/>
              <w:ind w:left="0" w:leftChars="0" w:firstLine="0" w:firstLineChars="0"/>
              <w:jc w:val="center"/>
              <w:rPr>
                <w:rFonts w:hint="eastAsia"/>
              </w:rPr>
            </w:pPr>
          </w:p>
        </w:tc>
        <w:tc>
          <w:tcPr>
            <w:tcW w:w="786" w:type="dxa"/>
            <w:vMerge w:val="continue"/>
            <w:shd w:val="clear" w:color="auto" w:fill="auto"/>
            <w:noWrap w:val="0"/>
            <w:vAlign w:val="center"/>
          </w:tcPr>
          <w:p>
            <w:pPr>
              <w:bidi w:val="0"/>
              <w:ind w:left="0" w:leftChars="0" w:firstLine="0" w:firstLineChars="0"/>
              <w:jc w:val="center"/>
              <w:rPr>
                <w:rFonts w:hint="eastAsia"/>
              </w:rPr>
            </w:pPr>
          </w:p>
        </w:tc>
        <w:tc>
          <w:tcPr>
            <w:tcW w:w="1276" w:type="dxa"/>
            <w:vMerge w:val="continue"/>
            <w:shd w:val="clear" w:color="auto" w:fill="auto"/>
            <w:noWrap w:val="0"/>
            <w:vAlign w:val="center"/>
          </w:tcPr>
          <w:p>
            <w:pPr>
              <w:bidi w:val="0"/>
              <w:ind w:left="0" w:leftChars="0" w:firstLine="0" w:firstLineChars="0"/>
              <w:jc w:val="center"/>
              <w:rPr>
                <w:rFonts w:hint="eastAsia"/>
              </w:rPr>
            </w:pPr>
          </w:p>
        </w:tc>
        <w:tc>
          <w:tcPr>
            <w:tcW w:w="850" w:type="dxa"/>
            <w:shd w:val="clear" w:color="auto" w:fill="auto"/>
            <w:noWrap w:val="0"/>
            <w:vAlign w:val="center"/>
          </w:tcPr>
          <w:p>
            <w:pPr>
              <w:bidi w:val="0"/>
              <w:ind w:left="0" w:leftChars="0" w:firstLine="0" w:firstLineChars="0"/>
              <w:jc w:val="center"/>
              <w:rPr>
                <w:rFonts w:hint="eastAsia"/>
              </w:rPr>
            </w:pPr>
            <w:r>
              <w:rPr>
                <w:rFonts w:hint="eastAsia"/>
              </w:rPr>
              <w:t>测量值</w:t>
            </w:r>
          </w:p>
        </w:tc>
        <w:tc>
          <w:tcPr>
            <w:tcW w:w="851" w:type="dxa"/>
            <w:shd w:val="clear" w:color="auto" w:fill="auto"/>
            <w:noWrap w:val="0"/>
            <w:vAlign w:val="center"/>
          </w:tcPr>
          <w:p>
            <w:pPr>
              <w:bidi w:val="0"/>
              <w:ind w:left="0" w:leftChars="0" w:firstLine="0" w:firstLineChars="0"/>
              <w:jc w:val="center"/>
              <w:rPr>
                <w:rFonts w:hint="eastAsia"/>
              </w:rPr>
            </w:pPr>
            <w:r>
              <w:rPr>
                <w:rFonts w:hint="eastAsia"/>
              </w:rPr>
              <w:t>背景值</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修正值</w:t>
            </w:r>
          </w:p>
        </w:tc>
        <w:tc>
          <w:tcPr>
            <w:tcW w:w="851" w:type="dxa"/>
            <w:gridSpan w:val="2"/>
            <w:shd w:val="clear" w:color="auto" w:fill="auto"/>
            <w:noWrap w:val="0"/>
            <w:vAlign w:val="center"/>
          </w:tcPr>
          <w:p>
            <w:pPr>
              <w:bidi w:val="0"/>
              <w:ind w:left="0" w:leftChars="0" w:firstLine="0" w:firstLineChars="0"/>
              <w:jc w:val="center"/>
              <w:rPr>
                <w:rFonts w:hint="eastAsia"/>
              </w:rPr>
            </w:pPr>
            <w:r>
              <w:rPr>
                <w:rFonts w:hint="eastAsia"/>
              </w:rPr>
              <w:t>测量值</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背景值</w:t>
            </w:r>
          </w:p>
        </w:tc>
        <w:tc>
          <w:tcPr>
            <w:tcW w:w="851" w:type="dxa"/>
            <w:shd w:val="clear" w:color="auto" w:fill="auto"/>
            <w:noWrap w:val="0"/>
            <w:vAlign w:val="center"/>
          </w:tcPr>
          <w:p>
            <w:pPr>
              <w:bidi w:val="0"/>
              <w:ind w:left="0" w:leftChars="0" w:firstLine="0" w:firstLineChars="0"/>
              <w:jc w:val="center"/>
              <w:rPr>
                <w:rFonts w:hint="eastAsia"/>
              </w:rPr>
            </w:pPr>
            <w:r>
              <w:rPr>
                <w:rFonts w:hint="eastAsia"/>
              </w:rPr>
              <w:t>修正值</w:t>
            </w:r>
          </w:p>
        </w:tc>
        <w:tc>
          <w:tcPr>
            <w:tcW w:w="709" w:type="dxa"/>
            <w:shd w:val="clear" w:color="auto" w:fill="auto"/>
            <w:noWrap w:val="0"/>
            <w:vAlign w:val="center"/>
          </w:tcPr>
          <w:p>
            <w:pPr>
              <w:bidi w:val="0"/>
              <w:ind w:left="0" w:leftChars="0" w:firstLine="0" w:firstLineChars="0"/>
              <w:jc w:val="center"/>
              <w:rPr>
                <w:rFonts w:hint="eastAsia"/>
              </w:rPr>
            </w:pPr>
            <w:r>
              <w:rPr>
                <w:rFonts w:hint="eastAsia"/>
              </w:rPr>
              <w:t>昼间</w:t>
            </w:r>
          </w:p>
        </w:tc>
        <w:tc>
          <w:tcPr>
            <w:tcW w:w="709" w:type="dxa"/>
            <w:shd w:val="clear" w:color="auto" w:fill="auto"/>
            <w:noWrap w:val="0"/>
            <w:vAlign w:val="center"/>
          </w:tcPr>
          <w:p>
            <w:pPr>
              <w:bidi w:val="0"/>
              <w:ind w:left="0" w:leftChars="0" w:firstLine="0" w:firstLineChars="0"/>
              <w:jc w:val="center"/>
              <w:rPr>
                <w:rFonts w:hint="eastAsia"/>
              </w:rPr>
            </w:pPr>
            <w:r>
              <w:rPr>
                <w:rFonts w:hint="eastAsia"/>
              </w:rPr>
              <w:t>夜间</w:t>
            </w:r>
          </w:p>
        </w:tc>
        <w:tc>
          <w:tcPr>
            <w:tcW w:w="815" w:type="dxa"/>
            <w:vMerge w:val="continue"/>
            <w:shd w:val="clear" w:color="auto" w:fill="auto"/>
            <w:noWrap w:val="0"/>
            <w:vAlign w:val="center"/>
          </w:tcPr>
          <w:p>
            <w:pPr>
              <w:bidi w:val="0"/>
              <w:ind w:left="0" w:leftChars="0" w:firstLine="0" w:firstLineChars="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56" w:type="dxa"/>
            <w:vMerge w:val="restart"/>
            <w:shd w:val="clear" w:color="auto" w:fill="auto"/>
            <w:noWrap w:val="0"/>
            <w:vAlign w:val="center"/>
          </w:tcPr>
          <w:p>
            <w:pPr>
              <w:bidi w:val="0"/>
              <w:ind w:left="0" w:leftChars="0" w:firstLine="0" w:firstLineChars="0"/>
              <w:jc w:val="center"/>
              <w:rPr>
                <w:rFonts w:hint="eastAsia"/>
              </w:rPr>
            </w:pPr>
            <w:r>
              <w:rPr>
                <w:rFonts w:hint="eastAsia"/>
              </w:rPr>
              <w:t>1</w:t>
            </w:r>
          </w:p>
        </w:tc>
        <w:tc>
          <w:tcPr>
            <w:tcW w:w="786" w:type="dxa"/>
            <w:vMerge w:val="restart"/>
            <w:shd w:val="clear" w:color="auto" w:fill="auto"/>
            <w:noWrap w:val="0"/>
            <w:vAlign w:val="center"/>
          </w:tcPr>
          <w:p>
            <w:pPr>
              <w:bidi w:val="0"/>
              <w:ind w:left="0" w:leftChars="0" w:firstLine="0" w:firstLineChars="0"/>
              <w:jc w:val="center"/>
              <w:rPr>
                <w:rFonts w:hint="eastAsia"/>
              </w:rPr>
            </w:pPr>
            <w:r>
              <w:rPr>
                <w:rFonts w:hint="eastAsia"/>
              </w:rPr>
              <w:t>东侧边界</w:t>
            </w:r>
          </w:p>
        </w:tc>
        <w:tc>
          <w:tcPr>
            <w:tcW w:w="1276" w:type="dxa"/>
            <w:shd w:val="clear" w:color="auto" w:fill="auto"/>
            <w:noWrap w:val="0"/>
            <w:vAlign w:val="center"/>
          </w:tcPr>
          <w:p>
            <w:pPr>
              <w:bidi w:val="0"/>
              <w:ind w:left="0" w:leftChars="0" w:firstLine="0" w:firstLineChars="0"/>
              <w:jc w:val="center"/>
              <w:rPr>
                <w:rFonts w:hint="eastAsia"/>
              </w:rPr>
            </w:pPr>
            <w:r>
              <w:rPr>
                <w:rFonts w:hint="eastAsia"/>
              </w:rPr>
              <w:t>6月20号</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53.3</w:t>
            </w:r>
          </w:p>
        </w:tc>
        <w:tc>
          <w:tcPr>
            <w:tcW w:w="851" w:type="dxa"/>
            <w:shd w:val="clear" w:color="auto" w:fill="auto"/>
            <w:noWrap w:val="0"/>
            <w:vAlign w:val="center"/>
          </w:tcPr>
          <w:p>
            <w:pPr>
              <w:bidi w:val="0"/>
              <w:ind w:left="0" w:leftChars="0" w:firstLine="0" w:firstLineChars="0"/>
              <w:jc w:val="center"/>
              <w:rPr>
                <w:rFonts w:hint="eastAsia"/>
              </w:rPr>
            </w:pPr>
            <w:r>
              <w:rPr>
                <w:rFonts w:hint="eastAsia"/>
              </w:rPr>
              <w:t>49.6</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51</w:t>
            </w:r>
          </w:p>
        </w:tc>
        <w:tc>
          <w:tcPr>
            <w:tcW w:w="851" w:type="dxa"/>
            <w:gridSpan w:val="2"/>
            <w:shd w:val="clear" w:color="auto" w:fill="auto"/>
            <w:noWrap w:val="0"/>
            <w:vAlign w:val="center"/>
          </w:tcPr>
          <w:p>
            <w:pPr>
              <w:bidi w:val="0"/>
              <w:ind w:left="0" w:leftChars="0" w:firstLine="0" w:firstLineChars="0"/>
              <w:jc w:val="center"/>
              <w:rPr>
                <w:rFonts w:hint="eastAsia"/>
              </w:rPr>
            </w:pPr>
            <w:r>
              <w:rPr>
                <w:rFonts w:hint="eastAsia"/>
              </w:rPr>
              <w:t>52.7</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47.3</w:t>
            </w:r>
          </w:p>
        </w:tc>
        <w:tc>
          <w:tcPr>
            <w:tcW w:w="851" w:type="dxa"/>
            <w:shd w:val="clear" w:color="auto" w:fill="auto"/>
            <w:noWrap w:val="0"/>
            <w:vAlign w:val="center"/>
          </w:tcPr>
          <w:p>
            <w:pPr>
              <w:bidi w:val="0"/>
              <w:ind w:left="0" w:leftChars="0" w:firstLine="0" w:firstLineChars="0"/>
              <w:jc w:val="center"/>
              <w:rPr>
                <w:rFonts w:hint="eastAsia"/>
              </w:rPr>
            </w:pPr>
            <w:r>
              <w:rPr>
                <w:rFonts w:hint="eastAsia"/>
              </w:rPr>
              <w:t>51</w:t>
            </w:r>
          </w:p>
        </w:tc>
        <w:tc>
          <w:tcPr>
            <w:tcW w:w="709" w:type="dxa"/>
            <w:vMerge w:val="restart"/>
            <w:shd w:val="clear" w:color="auto" w:fill="auto"/>
            <w:noWrap w:val="0"/>
            <w:vAlign w:val="center"/>
          </w:tcPr>
          <w:p>
            <w:pPr>
              <w:bidi w:val="0"/>
              <w:ind w:left="0" w:leftChars="0" w:firstLine="0" w:firstLineChars="0"/>
              <w:jc w:val="center"/>
              <w:rPr>
                <w:rFonts w:hint="eastAsia"/>
              </w:rPr>
            </w:pPr>
            <w:r>
              <w:rPr>
                <w:rFonts w:hint="eastAsia"/>
              </w:rPr>
              <w:t>65</w:t>
            </w:r>
          </w:p>
        </w:tc>
        <w:tc>
          <w:tcPr>
            <w:tcW w:w="709" w:type="dxa"/>
            <w:vMerge w:val="restart"/>
            <w:shd w:val="clear" w:color="auto" w:fill="auto"/>
            <w:noWrap w:val="0"/>
            <w:vAlign w:val="center"/>
          </w:tcPr>
          <w:p>
            <w:pPr>
              <w:bidi w:val="0"/>
              <w:ind w:left="0" w:leftChars="0" w:firstLine="0" w:firstLineChars="0"/>
              <w:jc w:val="center"/>
              <w:rPr>
                <w:rFonts w:hint="eastAsia"/>
              </w:rPr>
            </w:pPr>
            <w:r>
              <w:rPr>
                <w:rFonts w:hint="eastAsia"/>
              </w:rPr>
              <w:t>55</w:t>
            </w:r>
          </w:p>
        </w:tc>
        <w:tc>
          <w:tcPr>
            <w:tcW w:w="815" w:type="dxa"/>
            <w:vMerge w:val="restart"/>
            <w:shd w:val="clear" w:color="auto" w:fill="auto"/>
            <w:noWrap w:val="0"/>
            <w:vAlign w:val="center"/>
          </w:tcPr>
          <w:p>
            <w:pPr>
              <w:bidi w:val="0"/>
              <w:ind w:left="0" w:leftChars="0" w:firstLine="0" w:firstLineChars="0"/>
              <w:jc w:val="center"/>
              <w:rPr>
                <w:rFonts w:hint="eastAsia"/>
              </w:rPr>
            </w:pPr>
            <w:r>
              <w:rPr>
                <w:rFonts w:hint="eastAsia"/>
              </w:rPr>
              <w:t>边界噪声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56" w:type="dxa"/>
            <w:vMerge w:val="continue"/>
            <w:shd w:val="clear" w:color="auto" w:fill="auto"/>
            <w:noWrap w:val="0"/>
            <w:vAlign w:val="center"/>
          </w:tcPr>
          <w:p>
            <w:pPr>
              <w:bidi w:val="0"/>
              <w:ind w:left="0" w:leftChars="0" w:firstLine="0" w:firstLineChars="0"/>
              <w:jc w:val="center"/>
              <w:rPr>
                <w:rFonts w:hint="eastAsia"/>
              </w:rPr>
            </w:pPr>
          </w:p>
        </w:tc>
        <w:tc>
          <w:tcPr>
            <w:tcW w:w="786" w:type="dxa"/>
            <w:vMerge w:val="continue"/>
            <w:shd w:val="clear" w:color="auto" w:fill="auto"/>
            <w:noWrap w:val="0"/>
            <w:vAlign w:val="center"/>
          </w:tcPr>
          <w:p>
            <w:pPr>
              <w:bidi w:val="0"/>
              <w:ind w:left="0" w:leftChars="0" w:firstLine="0" w:firstLineChars="0"/>
              <w:jc w:val="center"/>
              <w:rPr>
                <w:rFonts w:hint="eastAsia"/>
              </w:rPr>
            </w:pPr>
          </w:p>
        </w:tc>
        <w:tc>
          <w:tcPr>
            <w:tcW w:w="1276" w:type="dxa"/>
            <w:shd w:val="clear" w:color="auto" w:fill="auto"/>
            <w:noWrap w:val="0"/>
            <w:vAlign w:val="center"/>
          </w:tcPr>
          <w:p>
            <w:pPr>
              <w:bidi w:val="0"/>
              <w:ind w:left="0" w:leftChars="0" w:firstLine="0" w:firstLineChars="0"/>
              <w:jc w:val="center"/>
              <w:rPr>
                <w:rFonts w:hint="eastAsia"/>
              </w:rPr>
            </w:pPr>
            <w:r>
              <w:rPr>
                <w:rFonts w:hint="eastAsia"/>
              </w:rPr>
              <w:t>6月22号</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54.6</w:t>
            </w:r>
          </w:p>
        </w:tc>
        <w:tc>
          <w:tcPr>
            <w:tcW w:w="851" w:type="dxa"/>
            <w:shd w:val="clear" w:color="auto" w:fill="auto"/>
            <w:noWrap w:val="0"/>
            <w:vAlign w:val="center"/>
          </w:tcPr>
          <w:p>
            <w:pPr>
              <w:bidi w:val="0"/>
              <w:ind w:left="0" w:leftChars="0" w:firstLine="0" w:firstLineChars="0"/>
              <w:jc w:val="center"/>
              <w:rPr>
                <w:rFonts w:hint="eastAsia"/>
              </w:rPr>
            </w:pPr>
            <w:r>
              <w:rPr>
                <w:rFonts w:hint="eastAsia"/>
              </w:rPr>
              <w:t>50.4</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53</w:t>
            </w:r>
          </w:p>
        </w:tc>
        <w:tc>
          <w:tcPr>
            <w:tcW w:w="851" w:type="dxa"/>
            <w:gridSpan w:val="2"/>
            <w:shd w:val="clear" w:color="auto" w:fill="auto"/>
            <w:noWrap w:val="0"/>
            <w:vAlign w:val="center"/>
          </w:tcPr>
          <w:p>
            <w:pPr>
              <w:bidi w:val="0"/>
              <w:ind w:left="0" w:leftChars="0" w:firstLine="0" w:firstLineChars="0"/>
              <w:jc w:val="center"/>
              <w:rPr>
                <w:rFonts w:hint="eastAsia"/>
              </w:rPr>
            </w:pPr>
            <w:r>
              <w:rPr>
                <w:rFonts w:hint="eastAsia"/>
              </w:rPr>
              <w:t>51.6</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47.2</w:t>
            </w:r>
          </w:p>
        </w:tc>
        <w:tc>
          <w:tcPr>
            <w:tcW w:w="851" w:type="dxa"/>
            <w:shd w:val="clear" w:color="auto" w:fill="auto"/>
            <w:noWrap w:val="0"/>
            <w:vAlign w:val="center"/>
          </w:tcPr>
          <w:p>
            <w:pPr>
              <w:bidi w:val="0"/>
              <w:ind w:left="0" w:leftChars="0" w:firstLine="0" w:firstLineChars="0"/>
              <w:jc w:val="center"/>
              <w:rPr>
                <w:rFonts w:hint="eastAsia"/>
              </w:rPr>
            </w:pPr>
            <w:r>
              <w:rPr>
                <w:rFonts w:hint="eastAsia"/>
              </w:rPr>
              <w:t>50</w:t>
            </w:r>
          </w:p>
        </w:tc>
        <w:tc>
          <w:tcPr>
            <w:tcW w:w="709" w:type="dxa"/>
            <w:vMerge w:val="continue"/>
            <w:shd w:val="clear" w:color="auto" w:fill="auto"/>
            <w:noWrap w:val="0"/>
            <w:vAlign w:val="center"/>
          </w:tcPr>
          <w:p>
            <w:pPr>
              <w:bidi w:val="0"/>
              <w:ind w:left="0" w:leftChars="0" w:firstLine="0" w:firstLineChars="0"/>
              <w:jc w:val="center"/>
              <w:rPr>
                <w:rFonts w:hint="eastAsia"/>
              </w:rPr>
            </w:pPr>
          </w:p>
        </w:tc>
        <w:tc>
          <w:tcPr>
            <w:tcW w:w="709" w:type="dxa"/>
            <w:vMerge w:val="continue"/>
            <w:shd w:val="clear" w:color="auto" w:fill="auto"/>
            <w:noWrap w:val="0"/>
            <w:vAlign w:val="center"/>
          </w:tcPr>
          <w:p>
            <w:pPr>
              <w:bidi w:val="0"/>
              <w:ind w:left="0" w:leftChars="0" w:firstLine="0" w:firstLineChars="0"/>
              <w:jc w:val="center"/>
              <w:rPr>
                <w:rFonts w:hint="eastAsia"/>
              </w:rPr>
            </w:pPr>
          </w:p>
        </w:tc>
        <w:tc>
          <w:tcPr>
            <w:tcW w:w="815" w:type="dxa"/>
            <w:vMerge w:val="continue"/>
            <w:shd w:val="clear" w:color="auto" w:fill="auto"/>
            <w:noWrap w:val="0"/>
            <w:vAlign w:val="center"/>
          </w:tcPr>
          <w:p>
            <w:pPr>
              <w:bidi w:val="0"/>
              <w:ind w:left="0" w:leftChars="0" w:firstLine="0" w:firstLineChars="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56" w:type="dxa"/>
            <w:vMerge w:val="restart"/>
            <w:shd w:val="clear" w:color="auto" w:fill="auto"/>
            <w:noWrap w:val="0"/>
            <w:vAlign w:val="center"/>
          </w:tcPr>
          <w:p>
            <w:pPr>
              <w:bidi w:val="0"/>
              <w:ind w:left="0" w:leftChars="0" w:firstLine="0" w:firstLineChars="0"/>
              <w:jc w:val="center"/>
              <w:rPr>
                <w:rFonts w:hint="eastAsia"/>
              </w:rPr>
            </w:pPr>
            <w:r>
              <w:rPr>
                <w:rFonts w:hint="eastAsia"/>
              </w:rPr>
              <w:t>2</w:t>
            </w:r>
          </w:p>
        </w:tc>
        <w:tc>
          <w:tcPr>
            <w:tcW w:w="786" w:type="dxa"/>
            <w:vMerge w:val="restart"/>
            <w:shd w:val="clear" w:color="auto" w:fill="auto"/>
            <w:noWrap w:val="0"/>
            <w:vAlign w:val="center"/>
          </w:tcPr>
          <w:p>
            <w:pPr>
              <w:bidi w:val="0"/>
              <w:ind w:left="0" w:leftChars="0" w:firstLine="0" w:firstLineChars="0"/>
              <w:jc w:val="center"/>
              <w:rPr>
                <w:rFonts w:hint="eastAsia"/>
              </w:rPr>
            </w:pPr>
            <w:r>
              <w:rPr>
                <w:rFonts w:hint="eastAsia"/>
              </w:rPr>
              <w:t>西侧边界</w:t>
            </w:r>
          </w:p>
        </w:tc>
        <w:tc>
          <w:tcPr>
            <w:tcW w:w="1276" w:type="dxa"/>
            <w:shd w:val="clear" w:color="auto" w:fill="auto"/>
            <w:noWrap w:val="0"/>
            <w:vAlign w:val="center"/>
          </w:tcPr>
          <w:p>
            <w:pPr>
              <w:bidi w:val="0"/>
              <w:ind w:left="0" w:leftChars="0" w:firstLine="0" w:firstLineChars="0"/>
              <w:jc w:val="center"/>
              <w:rPr>
                <w:rFonts w:hint="eastAsia"/>
              </w:rPr>
            </w:pPr>
            <w:r>
              <w:rPr>
                <w:rFonts w:hint="eastAsia"/>
              </w:rPr>
              <w:t>6月20号</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56.4</w:t>
            </w:r>
          </w:p>
        </w:tc>
        <w:tc>
          <w:tcPr>
            <w:tcW w:w="851" w:type="dxa"/>
            <w:shd w:val="clear" w:color="auto" w:fill="auto"/>
            <w:noWrap w:val="0"/>
            <w:vAlign w:val="center"/>
          </w:tcPr>
          <w:p>
            <w:pPr>
              <w:bidi w:val="0"/>
              <w:ind w:left="0" w:leftChars="0" w:firstLine="0" w:firstLineChars="0"/>
              <w:jc w:val="center"/>
              <w:rPr>
                <w:rFonts w:hint="eastAsia"/>
              </w:rPr>
            </w:pPr>
            <w:r>
              <w:rPr>
                <w:rFonts w:hint="eastAsia"/>
              </w:rPr>
              <w:t>51.2</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54</w:t>
            </w:r>
          </w:p>
        </w:tc>
        <w:tc>
          <w:tcPr>
            <w:tcW w:w="851" w:type="dxa"/>
            <w:gridSpan w:val="2"/>
            <w:shd w:val="clear" w:color="auto" w:fill="auto"/>
            <w:noWrap w:val="0"/>
            <w:vAlign w:val="center"/>
          </w:tcPr>
          <w:p>
            <w:pPr>
              <w:bidi w:val="0"/>
              <w:ind w:left="0" w:leftChars="0" w:firstLine="0" w:firstLineChars="0"/>
              <w:jc w:val="center"/>
              <w:rPr>
                <w:rFonts w:hint="eastAsia"/>
              </w:rPr>
            </w:pPr>
            <w:r>
              <w:rPr>
                <w:rFonts w:hint="eastAsia"/>
              </w:rPr>
              <w:t>51.8</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47.7</w:t>
            </w:r>
          </w:p>
        </w:tc>
        <w:tc>
          <w:tcPr>
            <w:tcW w:w="851" w:type="dxa"/>
            <w:shd w:val="clear" w:color="auto" w:fill="auto"/>
            <w:noWrap w:val="0"/>
            <w:vAlign w:val="center"/>
          </w:tcPr>
          <w:p>
            <w:pPr>
              <w:bidi w:val="0"/>
              <w:ind w:left="0" w:leftChars="0" w:firstLine="0" w:firstLineChars="0"/>
              <w:jc w:val="center"/>
              <w:rPr>
                <w:rFonts w:hint="eastAsia"/>
              </w:rPr>
            </w:pPr>
            <w:r>
              <w:rPr>
                <w:rFonts w:hint="eastAsia"/>
              </w:rPr>
              <w:t>50</w:t>
            </w:r>
          </w:p>
        </w:tc>
        <w:tc>
          <w:tcPr>
            <w:tcW w:w="709" w:type="dxa"/>
            <w:vMerge w:val="continue"/>
            <w:shd w:val="clear" w:color="auto" w:fill="auto"/>
            <w:noWrap w:val="0"/>
            <w:vAlign w:val="center"/>
          </w:tcPr>
          <w:p>
            <w:pPr>
              <w:bidi w:val="0"/>
              <w:ind w:left="0" w:leftChars="0" w:firstLine="0" w:firstLineChars="0"/>
              <w:jc w:val="center"/>
              <w:rPr>
                <w:rFonts w:hint="eastAsia"/>
              </w:rPr>
            </w:pPr>
          </w:p>
        </w:tc>
        <w:tc>
          <w:tcPr>
            <w:tcW w:w="709" w:type="dxa"/>
            <w:vMerge w:val="continue"/>
            <w:shd w:val="clear" w:color="auto" w:fill="auto"/>
            <w:noWrap w:val="0"/>
            <w:vAlign w:val="center"/>
          </w:tcPr>
          <w:p>
            <w:pPr>
              <w:bidi w:val="0"/>
              <w:ind w:left="0" w:leftChars="0" w:firstLine="0" w:firstLineChars="0"/>
              <w:jc w:val="center"/>
              <w:rPr>
                <w:rFonts w:hint="eastAsia"/>
              </w:rPr>
            </w:pPr>
          </w:p>
        </w:tc>
        <w:tc>
          <w:tcPr>
            <w:tcW w:w="815" w:type="dxa"/>
            <w:vMerge w:val="restart"/>
            <w:shd w:val="clear" w:color="auto" w:fill="auto"/>
            <w:noWrap w:val="0"/>
            <w:vAlign w:val="center"/>
          </w:tcPr>
          <w:p>
            <w:pPr>
              <w:bidi w:val="0"/>
              <w:ind w:left="0" w:leftChars="0" w:firstLine="0" w:firstLineChars="0"/>
              <w:jc w:val="center"/>
              <w:rPr>
                <w:rFonts w:hint="eastAsia"/>
              </w:rPr>
            </w:pPr>
            <w:r>
              <w:rPr>
                <w:rFonts w:hint="eastAsia"/>
              </w:rPr>
              <w:t>边界噪声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56" w:type="dxa"/>
            <w:vMerge w:val="continue"/>
            <w:shd w:val="clear" w:color="auto" w:fill="auto"/>
            <w:noWrap w:val="0"/>
            <w:vAlign w:val="center"/>
          </w:tcPr>
          <w:p>
            <w:pPr>
              <w:bidi w:val="0"/>
              <w:ind w:left="0" w:leftChars="0" w:firstLine="0" w:firstLineChars="0"/>
              <w:jc w:val="center"/>
              <w:rPr>
                <w:rFonts w:hint="eastAsia"/>
              </w:rPr>
            </w:pPr>
          </w:p>
        </w:tc>
        <w:tc>
          <w:tcPr>
            <w:tcW w:w="786" w:type="dxa"/>
            <w:vMerge w:val="continue"/>
            <w:shd w:val="clear" w:color="auto" w:fill="auto"/>
            <w:noWrap w:val="0"/>
            <w:vAlign w:val="top"/>
          </w:tcPr>
          <w:p>
            <w:pPr>
              <w:bidi w:val="0"/>
              <w:ind w:left="0" w:leftChars="0" w:firstLine="0" w:firstLineChars="0"/>
              <w:jc w:val="center"/>
              <w:rPr>
                <w:rFonts w:hint="eastAsia"/>
              </w:rPr>
            </w:pPr>
          </w:p>
        </w:tc>
        <w:tc>
          <w:tcPr>
            <w:tcW w:w="1276" w:type="dxa"/>
            <w:shd w:val="clear" w:color="auto" w:fill="auto"/>
            <w:noWrap w:val="0"/>
            <w:vAlign w:val="center"/>
          </w:tcPr>
          <w:p>
            <w:pPr>
              <w:bidi w:val="0"/>
              <w:ind w:left="0" w:leftChars="0" w:firstLine="0" w:firstLineChars="0"/>
              <w:jc w:val="center"/>
              <w:rPr>
                <w:rFonts w:hint="eastAsia"/>
              </w:rPr>
            </w:pPr>
            <w:r>
              <w:rPr>
                <w:rFonts w:hint="eastAsia"/>
              </w:rPr>
              <w:t>6月22号</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55.1</w:t>
            </w:r>
          </w:p>
        </w:tc>
        <w:tc>
          <w:tcPr>
            <w:tcW w:w="851" w:type="dxa"/>
            <w:shd w:val="clear" w:color="auto" w:fill="auto"/>
            <w:noWrap w:val="0"/>
            <w:vAlign w:val="center"/>
          </w:tcPr>
          <w:p>
            <w:pPr>
              <w:bidi w:val="0"/>
              <w:ind w:left="0" w:leftChars="0" w:firstLine="0" w:firstLineChars="0"/>
              <w:jc w:val="center"/>
              <w:rPr>
                <w:rFonts w:hint="eastAsia"/>
              </w:rPr>
            </w:pPr>
            <w:r>
              <w:rPr>
                <w:rFonts w:hint="eastAsia"/>
              </w:rPr>
              <w:t>50.2</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53</w:t>
            </w:r>
          </w:p>
        </w:tc>
        <w:tc>
          <w:tcPr>
            <w:tcW w:w="851" w:type="dxa"/>
            <w:gridSpan w:val="2"/>
            <w:shd w:val="clear" w:color="auto" w:fill="auto"/>
            <w:noWrap w:val="0"/>
            <w:vAlign w:val="center"/>
          </w:tcPr>
          <w:p>
            <w:pPr>
              <w:bidi w:val="0"/>
              <w:ind w:left="0" w:leftChars="0" w:firstLine="0" w:firstLineChars="0"/>
              <w:jc w:val="center"/>
              <w:rPr>
                <w:rFonts w:hint="eastAsia"/>
              </w:rPr>
            </w:pPr>
            <w:r>
              <w:rPr>
                <w:rFonts w:hint="eastAsia"/>
              </w:rPr>
              <w:t>51.8</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48.2</w:t>
            </w:r>
          </w:p>
        </w:tc>
        <w:tc>
          <w:tcPr>
            <w:tcW w:w="851" w:type="dxa"/>
            <w:shd w:val="clear" w:color="auto" w:fill="auto"/>
            <w:noWrap w:val="0"/>
            <w:vAlign w:val="center"/>
          </w:tcPr>
          <w:p>
            <w:pPr>
              <w:bidi w:val="0"/>
              <w:ind w:left="0" w:leftChars="0" w:firstLine="0" w:firstLineChars="0"/>
              <w:jc w:val="center"/>
              <w:rPr>
                <w:rFonts w:hint="eastAsia"/>
              </w:rPr>
            </w:pPr>
            <w:r>
              <w:rPr>
                <w:rFonts w:hint="eastAsia"/>
              </w:rPr>
              <w:t>50</w:t>
            </w:r>
          </w:p>
        </w:tc>
        <w:tc>
          <w:tcPr>
            <w:tcW w:w="709" w:type="dxa"/>
            <w:vMerge w:val="continue"/>
            <w:shd w:val="clear" w:color="auto" w:fill="auto"/>
            <w:noWrap w:val="0"/>
            <w:vAlign w:val="center"/>
          </w:tcPr>
          <w:p>
            <w:pPr>
              <w:bidi w:val="0"/>
              <w:ind w:left="0" w:leftChars="0" w:firstLine="0" w:firstLineChars="0"/>
              <w:jc w:val="center"/>
              <w:rPr>
                <w:rFonts w:hint="eastAsia"/>
              </w:rPr>
            </w:pPr>
          </w:p>
        </w:tc>
        <w:tc>
          <w:tcPr>
            <w:tcW w:w="709" w:type="dxa"/>
            <w:vMerge w:val="continue"/>
            <w:shd w:val="clear" w:color="auto" w:fill="auto"/>
            <w:noWrap w:val="0"/>
            <w:vAlign w:val="center"/>
          </w:tcPr>
          <w:p>
            <w:pPr>
              <w:bidi w:val="0"/>
              <w:ind w:left="0" w:leftChars="0" w:firstLine="0" w:firstLineChars="0"/>
              <w:jc w:val="center"/>
              <w:rPr>
                <w:rFonts w:hint="eastAsia"/>
              </w:rPr>
            </w:pPr>
          </w:p>
        </w:tc>
        <w:tc>
          <w:tcPr>
            <w:tcW w:w="815" w:type="dxa"/>
            <w:vMerge w:val="continue"/>
            <w:shd w:val="clear" w:color="auto" w:fill="auto"/>
            <w:noWrap w:val="0"/>
            <w:vAlign w:val="center"/>
          </w:tcPr>
          <w:p>
            <w:pPr>
              <w:bidi w:val="0"/>
              <w:ind w:left="0" w:leftChars="0" w:firstLine="0" w:firstLineChars="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56" w:type="dxa"/>
            <w:vMerge w:val="restart"/>
            <w:shd w:val="clear" w:color="auto" w:fill="auto"/>
            <w:noWrap w:val="0"/>
            <w:vAlign w:val="center"/>
          </w:tcPr>
          <w:p>
            <w:pPr>
              <w:bidi w:val="0"/>
              <w:ind w:left="0" w:leftChars="0" w:firstLine="0" w:firstLineChars="0"/>
              <w:jc w:val="center"/>
              <w:rPr>
                <w:rFonts w:hint="eastAsia"/>
              </w:rPr>
            </w:pPr>
            <w:r>
              <w:rPr>
                <w:rFonts w:hint="eastAsia"/>
              </w:rPr>
              <w:t>3</w:t>
            </w:r>
          </w:p>
        </w:tc>
        <w:tc>
          <w:tcPr>
            <w:tcW w:w="786" w:type="dxa"/>
            <w:vMerge w:val="restart"/>
            <w:shd w:val="clear" w:color="auto" w:fill="auto"/>
            <w:noWrap w:val="0"/>
            <w:vAlign w:val="center"/>
          </w:tcPr>
          <w:p>
            <w:pPr>
              <w:bidi w:val="0"/>
              <w:ind w:left="0" w:leftChars="0" w:firstLine="0" w:firstLineChars="0"/>
              <w:jc w:val="center"/>
              <w:rPr>
                <w:rFonts w:hint="eastAsia"/>
              </w:rPr>
            </w:pPr>
            <w:r>
              <w:rPr>
                <w:rFonts w:hint="eastAsia"/>
              </w:rPr>
              <w:t>南侧边界</w:t>
            </w:r>
          </w:p>
        </w:tc>
        <w:tc>
          <w:tcPr>
            <w:tcW w:w="1276" w:type="dxa"/>
            <w:shd w:val="clear" w:color="auto" w:fill="auto"/>
            <w:noWrap w:val="0"/>
            <w:vAlign w:val="center"/>
          </w:tcPr>
          <w:p>
            <w:pPr>
              <w:bidi w:val="0"/>
              <w:ind w:left="0" w:leftChars="0" w:firstLine="0" w:firstLineChars="0"/>
              <w:jc w:val="center"/>
              <w:rPr>
                <w:rFonts w:hint="eastAsia"/>
              </w:rPr>
            </w:pPr>
            <w:r>
              <w:rPr>
                <w:rFonts w:hint="eastAsia"/>
              </w:rPr>
              <w:t>6月20号</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56.0</w:t>
            </w:r>
          </w:p>
        </w:tc>
        <w:tc>
          <w:tcPr>
            <w:tcW w:w="851" w:type="dxa"/>
            <w:shd w:val="clear" w:color="auto" w:fill="auto"/>
            <w:noWrap w:val="0"/>
            <w:vAlign w:val="center"/>
          </w:tcPr>
          <w:p>
            <w:pPr>
              <w:bidi w:val="0"/>
              <w:ind w:left="0" w:leftChars="0" w:firstLine="0" w:firstLineChars="0"/>
              <w:jc w:val="center"/>
              <w:rPr>
                <w:rFonts w:hint="eastAsia"/>
              </w:rPr>
            </w:pPr>
            <w:r>
              <w:rPr>
                <w:rFonts w:hint="eastAsia"/>
              </w:rPr>
              <w:t>50.9</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54</w:t>
            </w:r>
          </w:p>
        </w:tc>
        <w:tc>
          <w:tcPr>
            <w:tcW w:w="851" w:type="dxa"/>
            <w:gridSpan w:val="2"/>
            <w:shd w:val="clear" w:color="auto" w:fill="auto"/>
            <w:noWrap w:val="0"/>
            <w:vAlign w:val="center"/>
          </w:tcPr>
          <w:p>
            <w:pPr>
              <w:bidi w:val="0"/>
              <w:ind w:left="0" w:leftChars="0" w:firstLine="0" w:firstLineChars="0"/>
              <w:jc w:val="center"/>
              <w:rPr>
                <w:rFonts w:hint="eastAsia"/>
              </w:rPr>
            </w:pPr>
            <w:r>
              <w:rPr>
                <w:rFonts w:hint="eastAsia"/>
              </w:rPr>
              <w:t>52.0</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47.6</w:t>
            </w:r>
          </w:p>
        </w:tc>
        <w:tc>
          <w:tcPr>
            <w:tcW w:w="851" w:type="dxa"/>
            <w:shd w:val="clear" w:color="auto" w:fill="auto"/>
            <w:noWrap w:val="0"/>
            <w:vAlign w:val="center"/>
          </w:tcPr>
          <w:p>
            <w:pPr>
              <w:bidi w:val="0"/>
              <w:ind w:left="0" w:leftChars="0" w:firstLine="0" w:firstLineChars="0"/>
              <w:jc w:val="center"/>
              <w:rPr>
                <w:rFonts w:hint="eastAsia"/>
              </w:rPr>
            </w:pPr>
            <w:r>
              <w:rPr>
                <w:rFonts w:hint="eastAsia"/>
              </w:rPr>
              <w:t>50</w:t>
            </w:r>
          </w:p>
        </w:tc>
        <w:tc>
          <w:tcPr>
            <w:tcW w:w="709" w:type="dxa"/>
            <w:vMerge w:val="continue"/>
            <w:shd w:val="clear" w:color="auto" w:fill="auto"/>
            <w:noWrap w:val="0"/>
            <w:vAlign w:val="center"/>
          </w:tcPr>
          <w:p>
            <w:pPr>
              <w:bidi w:val="0"/>
              <w:ind w:left="0" w:leftChars="0" w:firstLine="0" w:firstLineChars="0"/>
              <w:jc w:val="center"/>
              <w:rPr>
                <w:rFonts w:hint="eastAsia"/>
              </w:rPr>
            </w:pPr>
          </w:p>
        </w:tc>
        <w:tc>
          <w:tcPr>
            <w:tcW w:w="709" w:type="dxa"/>
            <w:vMerge w:val="continue"/>
            <w:shd w:val="clear" w:color="auto" w:fill="auto"/>
            <w:noWrap w:val="0"/>
            <w:vAlign w:val="center"/>
          </w:tcPr>
          <w:p>
            <w:pPr>
              <w:bidi w:val="0"/>
              <w:ind w:left="0" w:leftChars="0" w:firstLine="0" w:firstLineChars="0"/>
              <w:jc w:val="center"/>
              <w:rPr>
                <w:rFonts w:hint="eastAsia"/>
              </w:rPr>
            </w:pPr>
          </w:p>
        </w:tc>
        <w:tc>
          <w:tcPr>
            <w:tcW w:w="815" w:type="dxa"/>
            <w:vMerge w:val="restart"/>
            <w:shd w:val="clear" w:color="auto" w:fill="auto"/>
            <w:noWrap w:val="0"/>
            <w:vAlign w:val="center"/>
          </w:tcPr>
          <w:p>
            <w:pPr>
              <w:bidi w:val="0"/>
              <w:ind w:left="0" w:leftChars="0" w:firstLine="0" w:firstLineChars="0"/>
              <w:jc w:val="center"/>
              <w:rPr>
                <w:rFonts w:hint="eastAsia"/>
              </w:rPr>
            </w:pPr>
            <w:r>
              <w:rPr>
                <w:rFonts w:hint="eastAsia"/>
              </w:rPr>
              <w:t>边界噪声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56" w:type="dxa"/>
            <w:vMerge w:val="continue"/>
            <w:shd w:val="clear" w:color="auto" w:fill="auto"/>
            <w:noWrap w:val="0"/>
            <w:vAlign w:val="center"/>
          </w:tcPr>
          <w:p>
            <w:pPr>
              <w:bidi w:val="0"/>
              <w:ind w:left="0" w:leftChars="0" w:firstLine="0" w:firstLineChars="0"/>
              <w:jc w:val="center"/>
              <w:rPr>
                <w:rFonts w:hint="eastAsia"/>
              </w:rPr>
            </w:pPr>
          </w:p>
        </w:tc>
        <w:tc>
          <w:tcPr>
            <w:tcW w:w="786" w:type="dxa"/>
            <w:vMerge w:val="continue"/>
            <w:shd w:val="clear" w:color="auto" w:fill="auto"/>
            <w:noWrap w:val="0"/>
            <w:vAlign w:val="top"/>
          </w:tcPr>
          <w:p>
            <w:pPr>
              <w:bidi w:val="0"/>
              <w:ind w:left="0" w:leftChars="0" w:firstLine="0" w:firstLineChars="0"/>
              <w:jc w:val="center"/>
              <w:rPr>
                <w:rFonts w:hint="eastAsia"/>
              </w:rPr>
            </w:pPr>
          </w:p>
        </w:tc>
        <w:tc>
          <w:tcPr>
            <w:tcW w:w="1276" w:type="dxa"/>
            <w:shd w:val="clear" w:color="auto" w:fill="auto"/>
            <w:noWrap w:val="0"/>
            <w:vAlign w:val="center"/>
          </w:tcPr>
          <w:p>
            <w:pPr>
              <w:bidi w:val="0"/>
              <w:ind w:left="0" w:leftChars="0" w:firstLine="0" w:firstLineChars="0"/>
              <w:jc w:val="center"/>
              <w:rPr>
                <w:rFonts w:hint="eastAsia"/>
              </w:rPr>
            </w:pPr>
            <w:r>
              <w:rPr>
                <w:rFonts w:hint="eastAsia"/>
              </w:rPr>
              <w:t>6月22号</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55.7</w:t>
            </w:r>
          </w:p>
        </w:tc>
        <w:tc>
          <w:tcPr>
            <w:tcW w:w="851" w:type="dxa"/>
            <w:shd w:val="clear" w:color="auto" w:fill="auto"/>
            <w:noWrap w:val="0"/>
            <w:vAlign w:val="center"/>
          </w:tcPr>
          <w:p>
            <w:pPr>
              <w:bidi w:val="0"/>
              <w:ind w:left="0" w:leftChars="0" w:firstLine="0" w:firstLineChars="0"/>
              <w:jc w:val="center"/>
              <w:rPr>
                <w:rFonts w:hint="eastAsia"/>
              </w:rPr>
            </w:pPr>
            <w:r>
              <w:rPr>
                <w:rFonts w:hint="eastAsia"/>
              </w:rPr>
              <w:t>52.1</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54</w:t>
            </w:r>
          </w:p>
        </w:tc>
        <w:tc>
          <w:tcPr>
            <w:tcW w:w="851" w:type="dxa"/>
            <w:gridSpan w:val="2"/>
            <w:shd w:val="clear" w:color="auto" w:fill="auto"/>
            <w:noWrap w:val="0"/>
            <w:vAlign w:val="center"/>
          </w:tcPr>
          <w:p>
            <w:pPr>
              <w:bidi w:val="0"/>
              <w:ind w:left="0" w:leftChars="0" w:firstLine="0" w:firstLineChars="0"/>
              <w:jc w:val="center"/>
              <w:rPr>
                <w:rFonts w:hint="eastAsia"/>
              </w:rPr>
            </w:pPr>
            <w:r>
              <w:rPr>
                <w:rFonts w:hint="eastAsia"/>
              </w:rPr>
              <w:t>52.2</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47.7</w:t>
            </w:r>
          </w:p>
        </w:tc>
        <w:tc>
          <w:tcPr>
            <w:tcW w:w="851" w:type="dxa"/>
            <w:shd w:val="clear" w:color="auto" w:fill="auto"/>
            <w:noWrap w:val="0"/>
            <w:vAlign w:val="center"/>
          </w:tcPr>
          <w:p>
            <w:pPr>
              <w:bidi w:val="0"/>
              <w:ind w:left="0" w:leftChars="0" w:firstLine="0" w:firstLineChars="0"/>
              <w:jc w:val="center"/>
              <w:rPr>
                <w:rFonts w:hint="eastAsia"/>
              </w:rPr>
            </w:pPr>
            <w:r>
              <w:rPr>
                <w:rFonts w:hint="eastAsia"/>
              </w:rPr>
              <w:t>50</w:t>
            </w:r>
          </w:p>
        </w:tc>
        <w:tc>
          <w:tcPr>
            <w:tcW w:w="709" w:type="dxa"/>
            <w:vMerge w:val="continue"/>
            <w:shd w:val="clear" w:color="auto" w:fill="auto"/>
            <w:noWrap w:val="0"/>
            <w:vAlign w:val="center"/>
          </w:tcPr>
          <w:p>
            <w:pPr>
              <w:bidi w:val="0"/>
              <w:ind w:left="0" w:leftChars="0" w:firstLine="0" w:firstLineChars="0"/>
              <w:jc w:val="center"/>
              <w:rPr>
                <w:rFonts w:hint="eastAsia"/>
              </w:rPr>
            </w:pPr>
          </w:p>
        </w:tc>
        <w:tc>
          <w:tcPr>
            <w:tcW w:w="709" w:type="dxa"/>
            <w:vMerge w:val="continue"/>
            <w:shd w:val="clear" w:color="auto" w:fill="auto"/>
            <w:noWrap w:val="0"/>
            <w:vAlign w:val="center"/>
          </w:tcPr>
          <w:p>
            <w:pPr>
              <w:bidi w:val="0"/>
              <w:ind w:left="0" w:leftChars="0" w:firstLine="0" w:firstLineChars="0"/>
              <w:jc w:val="center"/>
              <w:rPr>
                <w:rFonts w:hint="eastAsia"/>
              </w:rPr>
            </w:pPr>
          </w:p>
        </w:tc>
        <w:tc>
          <w:tcPr>
            <w:tcW w:w="815" w:type="dxa"/>
            <w:vMerge w:val="continue"/>
            <w:shd w:val="clear" w:color="auto" w:fill="auto"/>
            <w:noWrap w:val="0"/>
            <w:vAlign w:val="center"/>
          </w:tcPr>
          <w:p>
            <w:pPr>
              <w:bidi w:val="0"/>
              <w:ind w:left="0" w:leftChars="0" w:firstLine="0" w:firstLineChars="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56" w:type="dxa"/>
            <w:vMerge w:val="restart"/>
            <w:shd w:val="clear" w:color="auto" w:fill="auto"/>
            <w:noWrap w:val="0"/>
            <w:vAlign w:val="center"/>
          </w:tcPr>
          <w:p>
            <w:pPr>
              <w:bidi w:val="0"/>
              <w:ind w:left="0" w:leftChars="0" w:firstLine="0" w:firstLineChars="0"/>
              <w:jc w:val="center"/>
              <w:rPr>
                <w:rFonts w:hint="eastAsia"/>
              </w:rPr>
            </w:pPr>
            <w:r>
              <w:rPr>
                <w:rFonts w:hint="eastAsia"/>
              </w:rPr>
              <w:t>4</w:t>
            </w:r>
          </w:p>
        </w:tc>
        <w:tc>
          <w:tcPr>
            <w:tcW w:w="786" w:type="dxa"/>
            <w:vMerge w:val="restart"/>
            <w:shd w:val="clear" w:color="auto" w:fill="auto"/>
            <w:noWrap w:val="0"/>
            <w:vAlign w:val="center"/>
          </w:tcPr>
          <w:p>
            <w:pPr>
              <w:bidi w:val="0"/>
              <w:ind w:left="0" w:leftChars="0" w:firstLine="0" w:firstLineChars="0"/>
              <w:jc w:val="center"/>
              <w:rPr>
                <w:rFonts w:hint="eastAsia"/>
              </w:rPr>
            </w:pPr>
            <w:r>
              <w:rPr>
                <w:rFonts w:hint="eastAsia"/>
              </w:rPr>
              <w:t>北侧边界</w:t>
            </w:r>
          </w:p>
        </w:tc>
        <w:tc>
          <w:tcPr>
            <w:tcW w:w="1276" w:type="dxa"/>
            <w:shd w:val="clear" w:color="auto" w:fill="auto"/>
            <w:noWrap w:val="0"/>
            <w:vAlign w:val="center"/>
          </w:tcPr>
          <w:p>
            <w:pPr>
              <w:bidi w:val="0"/>
              <w:ind w:left="0" w:leftChars="0" w:firstLine="0" w:firstLineChars="0"/>
              <w:jc w:val="center"/>
              <w:rPr>
                <w:rFonts w:hint="eastAsia"/>
              </w:rPr>
            </w:pPr>
            <w:r>
              <w:rPr>
                <w:rFonts w:hint="eastAsia"/>
              </w:rPr>
              <w:t>6月20号</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55.4</w:t>
            </w:r>
          </w:p>
        </w:tc>
        <w:tc>
          <w:tcPr>
            <w:tcW w:w="851" w:type="dxa"/>
            <w:shd w:val="clear" w:color="auto" w:fill="auto"/>
            <w:noWrap w:val="0"/>
            <w:vAlign w:val="center"/>
          </w:tcPr>
          <w:p>
            <w:pPr>
              <w:bidi w:val="0"/>
              <w:ind w:left="0" w:leftChars="0" w:firstLine="0" w:firstLineChars="0"/>
              <w:jc w:val="center"/>
              <w:rPr>
                <w:rFonts w:hint="eastAsia"/>
              </w:rPr>
            </w:pPr>
            <w:r>
              <w:rPr>
                <w:rFonts w:hint="eastAsia"/>
              </w:rPr>
              <w:t>48.5</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54</w:t>
            </w:r>
          </w:p>
        </w:tc>
        <w:tc>
          <w:tcPr>
            <w:tcW w:w="851" w:type="dxa"/>
            <w:gridSpan w:val="2"/>
            <w:shd w:val="clear" w:color="auto" w:fill="auto"/>
            <w:noWrap w:val="0"/>
            <w:vAlign w:val="center"/>
          </w:tcPr>
          <w:p>
            <w:pPr>
              <w:bidi w:val="0"/>
              <w:ind w:left="0" w:leftChars="0" w:firstLine="0" w:firstLineChars="0"/>
              <w:jc w:val="center"/>
              <w:rPr>
                <w:rFonts w:hint="eastAsia"/>
              </w:rPr>
            </w:pPr>
            <w:r>
              <w:rPr>
                <w:rFonts w:hint="eastAsia"/>
              </w:rPr>
              <w:t>52.3</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47.3</w:t>
            </w:r>
          </w:p>
        </w:tc>
        <w:tc>
          <w:tcPr>
            <w:tcW w:w="851" w:type="dxa"/>
            <w:shd w:val="clear" w:color="auto" w:fill="auto"/>
            <w:noWrap w:val="0"/>
            <w:vAlign w:val="center"/>
          </w:tcPr>
          <w:p>
            <w:pPr>
              <w:bidi w:val="0"/>
              <w:ind w:left="0" w:leftChars="0" w:firstLine="0" w:firstLineChars="0"/>
              <w:jc w:val="center"/>
              <w:rPr>
                <w:rFonts w:hint="eastAsia"/>
              </w:rPr>
            </w:pPr>
            <w:r>
              <w:rPr>
                <w:rFonts w:hint="eastAsia"/>
              </w:rPr>
              <w:t>50</w:t>
            </w:r>
          </w:p>
        </w:tc>
        <w:tc>
          <w:tcPr>
            <w:tcW w:w="709" w:type="dxa"/>
            <w:vMerge w:val="continue"/>
            <w:shd w:val="clear" w:color="auto" w:fill="auto"/>
            <w:noWrap w:val="0"/>
            <w:vAlign w:val="center"/>
          </w:tcPr>
          <w:p>
            <w:pPr>
              <w:bidi w:val="0"/>
              <w:ind w:left="0" w:leftChars="0" w:firstLine="0" w:firstLineChars="0"/>
              <w:jc w:val="center"/>
              <w:rPr>
                <w:rFonts w:hint="eastAsia"/>
              </w:rPr>
            </w:pPr>
          </w:p>
        </w:tc>
        <w:tc>
          <w:tcPr>
            <w:tcW w:w="709" w:type="dxa"/>
            <w:vMerge w:val="continue"/>
            <w:shd w:val="clear" w:color="auto" w:fill="auto"/>
            <w:noWrap w:val="0"/>
            <w:vAlign w:val="center"/>
          </w:tcPr>
          <w:p>
            <w:pPr>
              <w:bidi w:val="0"/>
              <w:ind w:left="0" w:leftChars="0" w:firstLine="0" w:firstLineChars="0"/>
              <w:jc w:val="center"/>
              <w:rPr>
                <w:rFonts w:hint="eastAsia"/>
              </w:rPr>
            </w:pPr>
          </w:p>
        </w:tc>
        <w:tc>
          <w:tcPr>
            <w:tcW w:w="815" w:type="dxa"/>
            <w:vMerge w:val="restart"/>
            <w:shd w:val="clear" w:color="auto" w:fill="auto"/>
            <w:noWrap w:val="0"/>
            <w:vAlign w:val="center"/>
          </w:tcPr>
          <w:p>
            <w:pPr>
              <w:bidi w:val="0"/>
              <w:ind w:left="0" w:leftChars="0" w:firstLine="0" w:firstLineChars="0"/>
              <w:jc w:val="center"/>
              <w:rPr>
                <w:rFonts w:hint="eastAsia"/>
              </w:rPr>
            </w:pPr>
            <w:r>
              <w:rPr>
                <w:rFonts w:hint="eastAsia"/>
              </w:rPr>
              <w:t>边界噪声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56" w:type="dxa"/>
            <w:vMerge w:val="continue"/>
            <w:shd w:val="clear" w:color="auto" w:fill="auto"/>
            <w:noWrap w:val="0"/>
            <w:vAlign w:val="center"/>
          </w:tcPr>
          <w:p>
            <w:pPr>
              <w:bidi w:val="0"/>
              <w:ind w:left="0" w:leftChars="0" w:firstLine="0" w:firstLineChars="0"/>
              <w:jc w:val="center"/>
              <w:rPr>
                <w:rFonts w:hint="eastAsia"/>
              </w:rPr>
            </w:pPr>
          </w:p>
        </w:tc>
        <w:tc>
          <w:tcPr>
            <w:tcW w:w="786" w:type="dxa"/>
            <w:vMerge w:val="continue"/>
            <w:shd w:val="clear" w:color="auto" w:fill="auto"/>
            <w:noWrap w:val="0"/>
            <w:vAlign w:val="center"/>
          </w:tcPr>
          <w:p>
            <w:pPr>
              <w:bidi w:val="0"/>
              <w:ind w:left="0" w:leftChars="0" w:firstLine="0" w:firstLineChars="0"/>
              <w:jc w:val="center"/>
              <w:rPr>
                <w:rFonts w:hint="eastAsia"/>
              </w:rPr>
            </w:pPr>
          </w:p>
        </w:tc>
        <w:tc>
          <w:tcPr>
            <w:tcW w:w="1276" w:type="dxa"/>
            <w:shd w:val="clear" w:color="auto" w:fill="auto"/>
            <w:noWrap w:val="0"/>
            <w:vAlign w:val="center"/>
          </w:tcPr>
          <w:p>
            <w:pPr>
              <w:bidi w:val="0"/>
              <w:ind w:left="0" w:leftChars="0" w:firstLine="0" w:firstLineChars="0"/>
              <w:jc w:val="center"/>
              <w:rPr>
                <w:rFonts w:hint="eastAsia"/>
              </w:rPr>
            </w:pPr>
            <w:r>
              <w:rPr>
                <w:rFonts w:hint="eastAsia"/>
              </w:rPr>
              <w:t>6月22号</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56.0</w:t>
            </w:r>
          </w:p>
        </w:tc>
        <w:tc>
          <w:tcPr>
            <w:tcW w:w="851" w:type="dxa"/>
            <w:shd w:val="clear" w:color="auto" w:fill="auto"/>
            <w:noWrap w:val="0"/>
            <w:vAlign w:val="center"/>
          </w:tcPr>
          <w:p>
            <w:pPr>
              <w:bidi w:val="0"/>
              <w:ind w:left="0" w:leftChars="0" w:firstLine="0" w:firstLineChars="0"/>
              <w:jc w:val="center"/>
              <w:rPr>
                <w:rFonts w:hint="eastAsia"/>
              </w:rPr>
            </w:pPr>
            <w:r>
              <w:rPr>
                <w:rFonts w:hint="eastAsia"/>
              </w:rPr>
              <w:t>51.9</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54</w:t>
            </w:r>
          </w:p>
        </w:tc>
        <w:tc>
          <w:tcPr>
            <w:tcW w:w="851" w:type="dxa"/>
            <w:gridSpan w:val="2"/>
            <w:shd w:val="clear" w:color="auto" w:fill="auto"/>
            <w:noWrap w:val="0"/>
            <w:vAlign w:val="center"/>
          </w:tcPr>
          <w:p>
            <w:pPr>
              <w:bidi w:val="0"/>
              <w:ind w:left="0" w:leftChars="0" w:firstLine="0" w:firstLineChars="0"/>
              <w:jc w:val="center"/>
              <w:rPr>
                <w:rFonts w:hint="eastAsia"/>
              </w:rPr>
            </w:pPr>
            <w:r>
              <w:rPr>
                <w:rFonts w:hint="eastAsia"/>
              </w:rPr>
              <w:t>51.9</w:t>
            </w:r>
          </w:p>
        </w:tc>
        <w:tc>
          <w:tcPr>
            <w:tcW w:w="850" w:type="dxa"/>
            <w:shd w:val="clear" w:color="auto" w:fill="auto"/>
            <w:noWrap w:val="0"/>
            <w:vAlign w:val="center"/>
          </w:tcPr>
          <w:p>
            <w:pPr>
              <w:bidi w:val="0"/>
              <w:ind w:left="0" w:leftChars="0" w:firstLine="0" w:firstLineChars="0"/>
              <w:jc w:val="center"/>
              <w:rPr>
                <w:rFonts w:hint="eastAsia"/>
              </w:rPr>
            </w:pPr>
            <w:r>
              <w:rPr>
                <w:rFonts w:hint="eastAsia"/>
              </w:rPr>
              <w:t>47.1</w:t>
            </w:r>
          </w:p>
        </w:tc>
        <w:tc>
          <w:tcPr>
            <w:tcW w:w="851" w:type="dxa"/>
            <w:shd w:val="clear" w:color="auto" w:fill="auto"/>
            <w:noWrap w:val="0"/>
            <w:vAlign w:val="center"/>
          </w:tcPr>
          <w:p>
            <w:pPr>
              <w:bidi w:val="0"/>
              <w:ind w:left="0" w:leftChars="0" w:firstLine="0" w:firstLineChars="0"/>
              <w:jc w:val="center"/>
              <w:rPr>
                <w:rFonts w:hint="eastAsia"/>
              </w:rPr>
            </w:pPr>
            <w:r>
              <w:rPr>
                <w:rFonts w:hint="eastAsia"/>
              </w:rPr>
              <w:t>50</w:t>
            </w:r>
          </w:p>
        </w:tc>
        <w:tc>
          <w:tcPr>
            <w:tcW w:w="709" w:type="dxa"/>
            <w:vMerge w:val="continue"/>
            <w:shd w:val="clear" w:color="auto" w:fill="auto"/>
            <w:noWrap w:val="0"/>
            <w:vAlign w:val="center"/>
          </w:tcPr>
          <w:p>
            <w:pPr>
              <w:bidi w:val="0"/>
              <w:ind w:left="0" w:leftChars="0" w:firstLine="0" w:firstLineChars="0"/>
              <w:jc w:val="center"/>
              <w:rPr>
                <w:rFonts w:hint="eastAsia"/>
              </w:rPr>
            </w:pPr>
          </w:p>
        </w:tc>
        <w:tc>
          <w:tcPr>
            <w:tcW w:w="709" w:type="dxa"/>
            <w:vMerge w:val="continue"/>
            <w:shd w:val="clear" w:color="auto" w:fill="auto"/>
            <w:noWrap w:val="0"/>
            <w:vAlign w:val="center"/>
          </w:tcPr>
          <w:p>
            <w:pPr>
              <w:bidi w:val="0"/>
              <w:ind w:left="0" w:leftChars="0" w:firstLine="0" w:firstLineChars="0"/>
              <w:jc w:val="center"/>
              <w:rPr>
                <w:rFonts w:hint="eastAsia"/>
              </w:rPr>
            </w:pPr>
          </w:p>
        </w:tc>
        <w:tc>
          <w:tcPr>
            <w:tcW w:w="815" w:type="dxa"/>
            <w:vMerge w:val="continue"/>
            <w:shd w:val="clear" w:color="auto" w:fill="auto"/>
            <w:noWrap w:val="0"/>
            <w:vAlign w:val="center"/>
          </w:tcPr>
          <w:p>
            <w:pPr>
              <w:bidi w:val="0"/>
              <w:ind w:left="0" w:leftChars="0" w:firstLine="0" w:firstLineChars="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exact"/>
          <w:jc w:val="center"/>
        </w:trPr>
        <w:tc>
          <w:tcPr>
            <w:tcW w:w="9854" w:type="dxa"/>
            <w:gridSpan w:val="13"/>
            <w:shd w:val="clear" w:color="auto" w:fill="auto"/>
            <w:noWrap w:val="0"/>
            <w:vAlign w:val="center"/>
          </w:tcPr>
          <w:p>
            <w:pPr>
              <w:bidi w:val="0"/>
              <w:ind w:left="0" w:leftChars="0" w:firstLine="0" w:firstLineChars="0"/>
              <w:jc w:val="center"/>
              <w:rPr>
                <w:rFonts w:hint="eastAsia"/>
              </w:rPr>
            </w:pPr>
            <w:r>
              <w:rPr>
                <w:rFonts w:hint="eastAsia"/>
              </w:rPr>
              <w:t>说明：无</w:t>
            </w:r>
          </w:p>
        </w:tc>
      </w:tr>
    </w:tbl>
    <w:p>
      <w:pPr>
        <w:pStyle w:val="2"/>
        <w:jc w:val="center"/>
        <w:rPr>
          <w:rFonts w:hint="eastAsia"/>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pPr>
      <w:bookmarkStart w:id="267" w:name="_Toc12021"/>
      <w:r>
        <w:rPr>
          <w:rFonts w:hint="eastAsia"/>
          <w:lang w:val="en-US" w:eastAsia="zh-CN"/>
        </w:rPr>
        <w:t>10</w:t>
      </w:r>
      <w:r>
        <w:t>.</w:t>
      </w:r>
      <w:r>
        <w:rPr>
          <w:rFonts w:hint="eastAsia"/>
        </w:rPr>
        <w:t>4检测位置平面图</w:t>
      </w:r>
      <w:bookmarkEnd w:id="261"/>
      <w:bookmarkEnd w:id="262"/>
      <w:bookmarkEnd w:id="263"/>
      <w:bookmarkEnd w:id="264"/>
      <w:bookmarkEnd w:id="265"/>
      <w:bookmarkEnd w:id="266"/>
      <w:bookmarkEnd w:id="267"/>
    </w:p>
    <w:p>
      <w:pPr>
        <w:ind w:firstLine="480"/>
        <w:rPr>
          <w:bCs/>
        </w:rPr>
      </w:pPr>
      <w:r>
        <w:rPr>
          <w:bCs/>
        </w:rPr>
        <w:t>检测位置平面</w:t>
      </w:r>
      <w:r>
        <w:rPr>
          <w:rFonts w:hint="eastAsia"/>
          <w:bCs/>
        </w:rPr>
        <w:t>示意</w:t>
      </w:r>
      <w:r>
        <w:rPr>
          <w:bCs/>
        </w:rPr>
        <w:t>图</w:t>
      </w:r>
      <w:r>
        <w:rPr>
          <w:rFonts w:hint="eastAsia"/>
          <w:bCs/>
        </w:rPr>
        <w:t>见图</w:t>
      </w:r>
      <w:r>
        <w:rPr>
          <w:rFonts w:hint="eastAsia"/>
          <w:bCs/>
          <w:lang w:val="en-US" w:eastAsia="zh-CN"/>
        </w:rPr>
        <w:t>10</w:t>
      </w:r>
      <w:r>
        <w:rPr>
          <w:rFonts w:hint="eastAsia"/>
          <w:bCs/>
        </w:rPr>
        <w:t>.4-1：</w:t>
      </w:r>
    </w:p>
    <w:p>
      <w:pPr>
        <w:keepNext w:val="0"/>
        <w:keepLines w:val="0"/>
        <w:widowControl/>
        <w:suppressLineNumbers w:val="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9733280" cy="4990465"/>
            <wp:effectExtent l="0" t="0" r="1270" b="635"/>
            <wp:docPr id="11" name="图片 11" descr="e4682174f95888a73e29bfac9fdd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4682174f95888a73e29bfac9fdd33a"/>
                    <pic:cNvPicPr>
                      <a:picLocks noChangeAspect="1"/>
                    </pic:cNvPicPr>
                  </pic:nvPicPr>
                  <pic:blipFill>
                    <a:blip r:embed="rId10"/>
                    <a:stretch>
                      <a:fillRect/>
                    </a:stretch>
                  </pic:blipFill>
                  <pic:spPr>
                    <a:xfrm>
                      <a:off x="0" y="0"/>
                      <a:ext cx="9733280" cy="4990465"/>
                    </a:xfrm>
                    <a:prstGeom prst="rect">
                      <a:avLst/>
                    </a:prstGeom>
                  </pic:spPr>
                </pic:pic>
              </a:graphicData>
            </a:graphic>
          </wp:inline>
        </w:drawing>
      </w:r>
    </w:p>
    <w:p>
      <w:pPr>
        <w:bidi w:val="0"/>
        <w:ind w:left="0" w:leftChars="0" w:firstLine="0" w:firstLineChars="0"/>
        <w:jc w:val="center"/>
        <w:rPr>
          <w:rFonts w:hint="eastAsia"/>
          <w:lang w:val="en-US" w:eastAsia="zh-CN"/>
        </w:rPr>
        <w:sectPr>
          <w:pgSz w:w="16783" w:h="11850"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68" w:name="_Toc21325"/>
      <w:r>
        <w:rPr>
          <w:rFonts w:hint="eastAsia"/>
        </w:rPr>
        <w:t>图</w:t>
      </w:r>
      <w:r>
        <w:rPr>
          <w:rFonts w:hint="eastAsia"/>
          <w:lang w:val="en-US" w:eastAsia="zh-CN"/>
        </w:rPr>
        <w:t>10</w:t>
      </w:r>
      <w:r>
        <w:rPr>
          <w:rFonts w:hint="eastAsia"/>
        </w:rPr>
        <w:t>.4-1检测位置平面示意图</w:t>
      </w:r>
    </w:p>
    <w:p>
      <w:pPr>
        <w:pStyle w:val="3"/>
      </w:pPr>
      <w:bookmarkStart w:id="269" w:name="_Toc3292"/>
      <w:r>
        <w:rPr>
          <w:rFonts w:hint="eastAsia"/>
          <w:lang w:val="en-US" w:eastAsia="zh-CN"/>
        </w:rPr>
        <w:t>11、</w:t>
      </w:r>
      <w:r>
        <w:rPr>
          <w:rFonts w:hint="eastAsia"/>
        </w:rPr>
        <w:t>环保管理检查</w:t>
      </w:r>
      <w:bookmarkEnd w:id="268"/>
      <w:bookmarkEnd w:id="269"/>
    </w:p>
    <w:p>
      <w:pPr>
        <w:keepNext w:val="0"/>
        <w:keepLines w:val="0"/>
        <w:pageBreakBefore w:val="0"/>
        <w:widowControl w:val="0"/>
        <w:kinsoku/>
        <w:wordWrap w:val="0"/>
        <w:overflowPunct/>
        <w:topLinePunct w:val="0"/>
        <w:autoSpaceDE/>
        <w:autoSpaceDN/>
        <w:bidi w:val="0"/>
        <w:adjustRightInd w:val="0"/>
        <w:snapToGrid w:val="0"/>
        <w:ind w:firstLine="482"/>
        <w:textAlignment w:val="auto"/>
        <w:outlineLvl w:val="1"/>
        <w:rPr>
          <w:rFonts w:ascii="宋体" w:hAnsi="宋体" w:cs="宋体"/>
          <w:b/>
          <w:bCs/>
        </w:rPr>
      </w:pPr>
      <w:bookmarkStart w:id="270" w:name="_Toc18884"/>
      <w:bookmarkStart w:id="271" w:name="_Toc20210_WPSOffice_Level1"/>
      <w:bookmarkStart w:id="272" w:name="_Toc20693_WPSOffice_Level1"/>
      <w:bookmarkStart w:id="273" w:name="_Toc28079_WPSOffice_Level1"/>
      <w:bookmarkStart w:id="274" w:name="_Toc15704_WPSOffice_Level1"/>
      <w:bookmarkStart w:id="275" w:name="_Toc30148_WPSOffice_Level1"/>
      <w:bookmarkStart w:id="276" w:name="_Toc5898_WPSOffice_Level1"/>
      <w:bookmarkStart w:id="277" w:name="_Toc17399_WPSOffice_Level1"/>
      <w:r>
        <w:rPr>
          <w:rFonts w:hint="eastAsia" w:ascii="宋体" w:hAnsi="宋体" w:cs="宋体"/>
          <w:b/>
          <w:bCs/>
        </w:rPr>
        <w:t>（</w:t>
      </w:r>
      <w:r>
        <w:rPr>
          <w:b/>
          <w:bCs/>
        </w:rPr>
        <w:t>1</w:t>
      </w:r>
      <w:r>
        <w:rPr>
          <w:rFonts w:hint="eastAsia" w:ascii="宋体" w:hAnsi="宋体" w:cs="宋体"/>
          <w:b/>
          <w:bCs/>
        </w:rPr>
        <w:t>）建设项目执行国家建设项目管理制度情况</w:t>
      </w:r>
      <w:bookmarkEnd w:id="270"/>
      <w:bookmarkEnd w:id="271"/>
      <w:bookmarkEnd w:id="272"/>
      <w:bookmarkEnd w:id="273"/>
      <w:bookmarkEnd w:id="274"/>
      <w:bookmarkEnd w:id="275"/>
      <w:bookmarkEnd w:id="276"/>
      <w:bookmarkEnd w:id="277"/>
    </w:p>
    <w:p>
      <w:pPr>
        <w:keepNext w:val="0"/>
        <w:keepLines w:val="0"/>
        <w:pageBreakBefore w:val="0"/>
        <w:widowControl w:val="0"/>
        <w:kinsoku/>
        <w:wordWrap w:val="0"/>
        <w:overflowPunct/>
        <w:topLinePunct w:val="0"/>
        <w:autoSpaceDE/>
        <w:autoSpaceDN/>
        <w:bidi w:val="0"/>
        <w:adjustRightInd w:val="0"/>
        <w:snapToGrid w:val="0"/>
        <w:ind w:firstLine="480"/>
        <w:textAlignment w:val="auto"/>
      </w:pPr>
      <w:r>
        <w:t>201</w:t>
      </w:r>
      <w:r>
        <w:rPr>
          <w:rFonts w:hint="eastAsia"/>
          <w:lang w:val="en-US" w:eastAsia="zh-CN"/>
        </w:rPr>
        <w:t>8</w:t>
      </w:r>
      <w:r>
        <w:t>年</w:t>
      </w:r>
      <w:r>
        <w:rPr>
          <w:rFonts w:hint="eastAsia"/>
          <w:lang w:val="en-US" w:eastAsia="zh-CN"/>
        </w:rPr>
        <w:t>3</w:t>
      </w:r>
      <w:r>
        <w:t>月，建设单位委托</w:t>
      </w:r>
      <w:r>
        <w:rPr>
          <w:rFonts w:hint="eastAsia"/>
          <w:lang w:eastAsia="zh-CN"/>
        </w:rPr>
        <w:t>广东志华环保科技</w:t>
      </w:r>
      <w:r>
        <w:t>有限公司承担</w:t>
      </w:r>
      <w:r>
        <w:rPr>
          <w:rFonts w:hint="eastAsia"/>
          <w:lang w:eastAsia="zh-CN"/>
        </w:rPr>
        <w:t>上海电气风电广东</w:t>
      </w:r>
      <w:r>
        <w:t>有限公司</w:t>
      </w:r>
      <w:r>
        <w:rPr>
          <w:rFonts w:hint="eastAsia"/>
          <w:lang w:eastAsia="zh-CN"/>
        </w:rPr>
        <w:t>海上风电智能制造项目</w:t>
      </w:r>
      <w:r>
        <w:t>的环境影响评价工作，并在201</w:t>
      </w:r>
      <w:r>
        <w:rPr>
          <w:rFonts w:hint="eastAsia"/>
          <w:lang w:val="en-US" w:eastAsia="zh-CN"/>
        </w:rPr>
        <w:t>8</w:t>
      </w:r>
      <w:r>
        <w:t>年</w:t>
      </w:r>
      <w:r>
        <w:rPr>
          <w:rFonts w:hint="eastAsia"/>
          <w:lang w:val="en-US" w:eastAsia="zh-CN"/>
        </w:rPr>
        <w:t>7</w:t>
      </w:r>
      <w:r>
        <w:t>月</w:t>
      </w:r>
      <w:r>
        <w:rPr>
          <w:rFonts w:hint="eastAsia"/>
          <w:lang w:val="en-US" w:eastAsia="zh-CN"/>
        </w:rPr>
        <w:t>2</w:t>
      </w:r>
      <w:r>
        <w:rPr>
          <w:rFonts w:hint="eastAsia"/>
        </w:rPr>
        <w:t>日</w:t>
      </w:r>
      <w:r>
        <w:t>取得</w:t>
      </w:r>
      <w:r>
        <w:rPr>
          <w:rFonts w:hint="eastAsia"/>
          <w:lang w:val="en-US" w:eastAsia="zh-CN"/>
        </w:rPr>
        <w:t>汕头市濠江区城市建设管理和环境保护局</w:t>
      </w:r>
      <w:r>
        <w:t>下发的《</w:t>
      </w:r>
      <w:r>
        <w:rPr>
          <w:rFonts w:hint="eastAsia"/>
          <w:lang w:val="en-US" w:eastAsia="zh-CN"/>
        </w:rPr>
        <w:t>关于上海电气风电广东</w:t>
      </w:r>
      <w:r>
        <w:t>有限公司</w:t>
      </w:r>
      <w:r>
        <w:rPr>
          <w:rFonts w:hint="eastAsia"/>
          <w:lang w:val="en-US" w:eastAsia="zh-CN"/>
        </w:rPr>
        <w:t>海上风电智能制造项目环境影响报告表的批复</w:t>
      </w:r>
      <w:r>
        <w:t>》</w:t>
      </w:r>
      <w:r>
        <w:rPr>
          <w:rFonts w:hint="eastAsia"/>
        </w:rPr>
        <w:t>（汕</w:t>
      </w:r>
      <w:r>
        <w:rPr>
          <w:rFonts w:hint="eastAsia"/>
          <w:lang w:val="en-US" w:eastAsia="zh-CN"/>
        </w:rPr>
        <w:t>濠环</w:t>
      </w:r>
      <w:r>
        <w:rPr>
          <w:rFonts w:hint="eastAsia"/>
        </w:rPr>
        <w:t>建【20</w:t>
      </w:r>
      <w:r>
        <w:rPr>
          <w:rFonts w:hint="eastAsia"/>
          <w:lang w:val="en-US" w:eastAsia="zh-CN"/>
        </w:rPr>
        <w:t>18</w:t>
      </w:r>
      <w:r>
        <w:rPr>
          <w:rFonts w:hint="eastAsia"/>
        </w:rPr>
        <w:t>】2</w:t>
      </w:r>
      <w:r>
        <w:rPr>
          <w:rFonts w:hint="eastAsia"/>
          <w:lang w:val="en-US" w:eastAsia="zh-CN"/>
        </w:rPr>
        <w:t>5</w:t>
      </w:r>
      <w:r>
        <w:rPr>
          <w:rFonts w:hint="eastAsia"/>
        </w:rPr>
        <w:t>号）</w:t>
      </w:r>
      <w:r>
        <w:t>，项目审批手续齐全。</w:t>
      </w:r>
    </w:p>
    <w:p>
      <w:pPr>
        <w:keepNext w:val="0"/>
        <w:keepLines w:val="0"/>
        <w:pageBreakBefore w:val="0"/>
        <w:widowControl w:val="0"/>
        <w:kinsoku/>
        <w:wordWrap w:val="0"/>
        <w:overflowPunct/>
        <w:topLinePunct w:val="0"/>
        <w:autoSpaceDE/>
        <w:autoSpaceDN/>
        <w:bidi w:val="0"/>
        <w:adjustRightInd w:val="0"/>
        <w:snapToGrid w:val="0"/>
        <w:ind w:firstLine="482"/>
        <w:textAlignment w:val="auto"/>
        <w:outlineLvl w:val="1"/>
        <w:rPr>
          <w:rFonts w:ascii="宋体" w:hAnsi="宋体" w:cs="宋体"/>
          <w:b/>
          <w:bCs/>
        </w:rPr>
      </w:pPr>
      <w:bookmarkStart w:id="278" w:name="_Toc32610"/>
      <w:bookmarkStart w:id="279" w:name="_Toc10687_WPSOffice_Level1"/>
      <w:bookmarkStart w:id="280" w:name="_Toc17674_WPSOffice_Level1"/>
      <w:bookmarkStart w:id="281" w:name="_Toc30303_WPSOffice_Level1"/>
      <w:bookmarkStart w:id="282" w:name="_Toc5368_WPSOffice_Level1"/>
      <w:bookmarkStart w:id="283" w:name="_Toc25453_WPSOffice_Level1"/>
      <w:bookmarkStart w:id="284" w:name="_Toc4124_WPSOffice_Level1"/>
      <w:bookmarkStart w:id="285" w:name="_Toc15287_WPSOffice_Level1"/>
      <w:r>
        <w:rPr>
          <w:rFonts w:hint="eastAsia" w:ascii="宋体" w:hAnsi="宋体" w:cs="宋体"/>
          <w:b/>
          <w:bCs/>
        </w:rPr>
        <w:t>（</w:t>
      </w:r>
      <w:r>
        <w:rPr>
          <w:b/>
          <w:bCs/>
        </w:rPr>
        <w:t>2</w:t>
      </w:r>
      <w:r>
        <w:rPr>
          <w:rFonts w:hint="eastAsia" w:ascii="宋体" w:hAnsi="宋体" w:cs="宋体"/>
          <w:b/>
          <w:bCs/>
        </w:rPr>
        <w:t>）环境管理档案管理情况</w:t>
      </w:r>
      <w:bookmarkEnd w:id="278"/>
      <w:bookmarkEnd w:id="279"/>
      <w:bookmarkEnd w:id="280"/>
      <w:bookmarkEnd w:id="281"/>
      <w:bookmarkEnd w:id="282"/>
      <w:bookmarkEnd w:id="283"/>
      <w:bookmarkEnd w:id="284"/>
      <w:bookmarkEnd w:id="285"/>
    </w:p>
    <w:p>
      <w:pPr>
        <w:keepNext w:val="0"/>
        <w:keepLines w:val="0"/>
        <w:pageBreakBefore w:val="0"/>
        <w:widowControl w:val="0"/>
        <w:kinsoku/>
        <w:wordWrap w:val="0"/>
        <w:overflowPunct/>
        <w:topLinePunct w:val="0"/>
        <w:autoSpaceDE/>
        <w:autoSpaceDN/>
        <w:bidi w:val="0"/>
        <w:adjustRightInd w:val="0"/>
        <w:snapToGrid w:val="0"/>
        <w:ind w:firstLine="480"/>
        <w:textAlignment w:val="auto"/>
        <w:rPr>
          <w:rFonts w:ascii="宋体" w:hAnsi="宋体" w:cs="宋体"/>
        </w:rPr>
      </w:pPr>
      <w:r>
        <w:rPr>
          <w:rFonts w:hint="eastAsia" w:ascii="宋体" w:hAnsi="宋体" w:cs="宋体"/>
        </w:rPr>
        <w:t>项目环境管理资料有专人进行管理，并存放在固定的档案柜中保存。</w:t>
      </w:r>
    </w:p>
    <w:p>
      <w:pPr>
        <w:keepNext w:val="0"/>
        <w:keepLines w:val="0"/>
        <w:pageBreakBefore w:val="0"/>
        <w:widowControl w:val="0"/>
        <w:kinsoku/>
        <w:wordWrap w:val="0"/>
        <w:overflowPunct/>
        <w:topLinePunct w:val="0"/>
        <w:autoSpaceDE/>
        <w:autoSpaceDN/>
        <w:bidi w:val="0"/>
        <w:adjustRightInd w:val="0"/>
        <w:snapToGrid w:val="0"/>
        <w:ind w:firstLine="482"/>
        <w:textAlignment w:val="auto"/>
        <w:outlineLvl w:val="1"/>
        <w:rPr>
          <w:rFonts w:ascii="宋体" w:hAnsi="宋体" w:cs="宋体"/>
          <w:b/>
          <w:bCs/>
        </w:rPr>
      </w:pPr>
      <w:bookmarkStart w:id="286" w:name="_Toc14318_WPSOffice_Level1"/>
      <w:bookmarkStart w:id="287" w:name="_Toc2295"/>
      <w:bookmarkStart w:id="288" w:name="_Toc6259_WPSOffice_Level1"/>
      <w:bookmarkStart w:id="289" w:name="_Toc11308_WPSOffice_Level1"/>
      <w:bookmarkStart w:id="290" w:name="_Toc5515_WPSOffice_Level1"/>
      <w:bookmarkStart w:id="291" w:name="_Toc20378_WPSOffice_Level1"/>
      <w:bookmarkStart w:id="292" w:name="_Toc31768_WPSOffice_Level1"/>
      <w:bookmarkStart w:id="293" w:name="_Toc9379_WPSOffice_Level1"/>
      <w:r>
        <w:rPr>
          <w:rFonts w:hint="eastAsia" w:ascii="宋体" w:hAnsi="宋体" w:cs="宋体"/>
          <w:b/>
          <w:bCs/>
        </w:rPr>
        <w:t>（</w:t>
      </w:r>
      <w:r>
        <w:rPr>
          <w:b/>
          <w:bCs/>
        </w:rPr>
        <w:t>3</w:t>
      </w:r>
      <w:r>
        <w:rPr>
          <w:rFonts w:hint="eastAsia" w:ascii="宋体" w:hAnsi="宋体" w:cs="宋体"/>
          <w:b/>
          <w:bCs/>
        </w:rPr>
        <w:t>）检查施工期环保措施落实情况</w:t>
      </w:r>
      <w:bookmarkEnd w:id="286"/>
      <w:bookmarkEnd w:id="287"/>
      <w:bookmarkEnd w:id="288"/>
      <w:bookmarkEnd w:id="289"/>
      <w:bookmarkEnd w:id="290"/>
      <w:bookmarkEnd w:id="291"/>
      <w:bookmarkEnd w:id="292"/>
      <w:bookmarkEnd w:id="293"/>
    </w:p>
    <w:p>
      <w:pPr>
        <w:keepNext w:val="0"/>
        <w:keepLines w:val="0"/>
        <w:pageBreakBefore w:val="0"/>
        <w:widowControl w:val="0"/>
        <w:kinsoku/>
        <w:wordWrap w:val="0"/>
        <w:overflowPunct/>
        <w:topLinePunct w:val="0"/>
        <w:autoSpaceDE/>
        <w:autoSpaceDN/>
        <w:bidi w:val="0"/>
        <w:adjustRightInd w:val="0"/>
        <w:snapToGrid w:val="0"/>
        <w:ind w:firstLine="480"/>
        <w:textAlignment w:val="auto"/>
        <w:rPr>
          <w:rFonts w:ascii="宋体" w:hAnsi="宋体" w:cs="宋体"/>
        </w:rPr>
      </w:pPr>
      <w:r>
        <w:rPr>
          <w:rFonts w:hint="eastAsia" w:ascii="宋体" w:hAnsi="宋体" w:cs="宋体"/>
        </w:rPr>
        <w:t>项目施工期间能做好安全文明施工组织，施工期间无违法违规行为。</w:t>
      </w:r>
    </w:p>
    <w:p>
      <w:pPr>
        <w:keepNext w:val="0"/>
        <w:keepLines w:val="0"/>
        <w:pageBreakBefore w:val="0"/>
        <w:widowControl w:val="0"/>
        <w:kinsoku/>
        <w:wordWrap w:val="0"/>
        <w:overflowPunct/>
        <w:topLinePunct w:val="0"/>
        <w:autoSpaceDE/>
        <w:autoSpaceDN/>
        <w:bidi w:val="0"/>
        <w:adjustRightInd w:val="0"/>
        <w:snapToGrid w:val="0"/>
        <w:ind w:firstLine="482"/>
        <w:textAlignment w:val="auto"/>
        <w:outlineLvl w:val="1"/>
        <w:rPr>
          <w:rFonts w:ascii="宋体" w:hAnsi="宋体" w:cs="宋体"/>
          <w:b/>
          <w:bCs/>
        </w:rPr>
      </w:pPr>
      <w:bookmarkStart w:id="294" w:name="_Toc24215"/>
      <w:bookmarkStart w:id="295" w:name="_Toc9916_WPSOffice_Level1"/>
      <w:bookmarkStart w:id="296" w:name="_Toc24784_WPSOffice_Level1"/>
      <w:bookmarkStart w:id="297" w:name="_Toc7741_WPSOffice_Level1"/>
      <w:bookmarkStart w:id="298" w:name="_Toc10395_WPSOffice_Level1"/>
      <w:bookmarkStart w:id="299" w:name="_Toc7459_WPSOffice_Level1"/>
      <w:bookmarkStart w:id="300" w:name="_Toc1622_WPSOffice_Level1"/>
      <w:r>
        <w:rPr>
          <w:rFonts w:hint="eastAsia" w:ascii="宋体" w:hAnsi="宋体" w:cs="宋体"/>
          <w:b/>
          <w:bCs/>
        </w:rPr>
        <w:t>（</w:t>
      </w:r>
      <w:r>
        <w:rPr>
          <w:rFonts w:hint="eastAsia"/>
          <w:b/>
          <w:bCs/>
        </w:rPr>
        <w:t>4</w:t>
      </w:r>
      <w:r>
        <w:rPr>
          <w:rFonts w:hint="eastAsia" w:ascii="宋体" w:hAnsi="宋体" w:cs="宋体"/>
          <w:b/>
          <w:bCs/>
        </w:rPr>
        <w:t>）检查固体废物的排放、利用及其处理处置情况</w:t>
      </w:r>
      <w:bookmarkEnd w:id="294"/>
      <w:bookmarkEnd w:id="295"/>
      <w:bookmarkEnd w:id="296"/>
      <w:bookmarkEnd w:id="297"/>
    </w:p>
    <w:p>
      <w:pPr>
        <w:keepNext w:val="0"/>
        <w:keepLines w:val="0"/>
        <w:pageBreakBefore w:val="0"/>
        <w:widowControl w:val="0"/>
        <w:kinsoku/>
        <w:wordWrap w:val="0"/>
        <w:overflowPunct/>
        <w:topLinePunct w:val="0"/>
        <w:autoSpaceDE/>
        <w:autoSpaceDN/>
        <w:bidi w:val="0"/>
        <w:adjustRightInd w:val="0"/>
        <w:snapToGrid w:val="0"/>
        <w:ind w:firstLine="480"/>
        <w:textAlignment w:val="auto"/>
        <w:rPr>
          <w:rFonts w:ascii="宋体" w:hAnsi="宋体" w:cs="宋体"/>
        </w:rPr>
      </w:pPr>
      <w:r>
        <w:rPr>
          <w:rFonts w:hint="eastAsia" w:ascii="宋体" w:hAnsi="宋体" w:cs="宋体"/>
        </w:rPr>
        <w:t>生活垃圾每日</w:t>
      </w:r>
      <w:r>
        <w:t>经集中收集后，定期由市政环卫部门统一处置</w:t>
      </w:r>
      <w:r>
        <w:rPr>
          <w:rFonts w:hint="eastAsia"/>
        </w:rPr>
        <w:t>。</w:t>
      </w:r>
      <w:r>
        <w:rPr>
          <w:rFonts w:hint="eastAsia"/>
          <w:lang w:val="en-US" w:eastAsia="zh-CN"/>
        </w:rPr>
        <w:t>一般工业固废</w:t>
      </w:r>
      <w:r>
        <w:rPr>
          <w:rFonts w:hint="eastAsia"/>
        </w:rPr>
        <w:t>经收集后统一外售给</w:t>
      </w:r>
      <w:r>
        <w:rPr>
          <w:rFonts w:hint="eastAsia"/>
          <w:bCs/>
        </w:rPr>
        <w:t>废品回收站综合利用。</w:t>
      </w:r>
      <w:r>
        <w:rPr>
          <w:rFonts w:hint="eastAsia"/>
          <w:lang w:val="en-US" w:eastAsia="zh-CN"/>
        </w:rPr>
        <w:t>危险废物</w:t>
      </w:r>
      <w:r>
        <w:rPr>
          <w:rFonts w:hint="eastAsia"/>
        </w:rPr>
        <w:t>交由有资质的单位处理。</w:t>
      </w:r>
    </w:p>
    <w:p>
      <w:pPr>
        <w:keepNext w:val="0"/>
        <w:keepLines w:val="0"/>
        <w:pageBreakBefore w:val="0"/>
        <w:widowControl w:val="0"/>
        <w:kinsoku/>
        <w:wordWrap w:val="0"/>
        <w:overflowPunct/>
        <w:topLinePunct w:val="0"/>
        <w:autoSpaceDE/>
        <w:autoSpaceDN/>
        <w:bidi w:val="0"/>
        <w:adjustRightInd w:val="0"/>
        <w:snapToGrid w:val="0"/>
        <w:ind w:firstLine="482"/>
        <w:textAlignment w:val="auto"/>
        <w:outlineLvl w:val="1"/>
        <w:rPr>
          <w:rFonts w:ascii="宋体" w:hAnsi="宋体" w:cs="宋体"/>
          <w:b/>
          <w:bCs/>
        </w:rPr>
      </w:pPr>
      <w:bookmarkStart w:id="301" w:name="_Toc29069"/>
      <w:bookmarkStart w:id="302" w:name="_Toc2568_WPSOffice_Level1"/>
      <w:bookmarkStart w:id="303" w:name="_Toc3254_WPSOffice_Level1"/>
      <w:bookmarkStart w:id="304" w:name="_Toc7252_WPSOffice_Level1"/>
      <w:r>
        <w:rPr>
          <w:rFonts w:hint="eastAsia" w:ascii="宋体" w:hAnsi="宋体" w:cs="宋体"/>
          <w:b/>
          <w:bCs/>
        </w:rPr>
        <w:t>（</w:t>
      </w:r>
      <w:r>
        <w:rPr>
          <w:rFonts w:hint="eastAsia"/>
          <w:b/>
          <w:bCs/>
        </w:rPr>
        <w:t>5</w:t>
      </w:r>
      <w:r>
        <w:rPr>
          <w:rFonts w:hint="eastAsia" w:ascii="宋体" w:hAnsi="宋体" w:cs="宋体"/>
          <w:b/>
          <w:bCs/>
        </w:rPr>
        <w:t>）建设期间和试运行阶段是否发生了扰民污染事故。</w:t>
      </w:r>
      <w:bookmarkEnd w:id="298"/>
      <w:bookmarkEnd w:id="299"/>
      <w:bookmarkEnd w:id="300"/>
      <w:bookmarkEnd w:id="301"/>
      <w:bookmarkEnd w:id="302"/>
      <w:bookmarkEnd w:id="303"/>
      <w:bookmarkEnd w:id="304"/>
    </w:p>
    <w:p>
      <w:pPr>
        <w:keepNext w:val="0"/>
        <w:keepLines w:val="0"/>
        <w:pageBreakBefore w:val="0"/>
        <w:widowControl w:val="0"/>
        <w:kinsoku/>
        <w:wordWrap w:val="0"/>
        <w:overflowPunct/>
        <w:topLinePunct w:val="0"/>
        <w:autoSpaceDE/>
        <w:autoSpaceDN/>
        <w:bidi w:val="0"/>
        <w:adjustRightInd w:val="0"/>
        <w:snapToGrid w:val="0"/>
        <w:ind w:firstLine="480"/>
        <w:textAlignment w:val="auto"/>
        <w:rPr>
          <w:rFonts w:ascii="宋体" w:hAnsi="宋体" w:cs="宋体"/>
        </w:rPr>
      </w:pPr>
      <w:r>
        <w:rPr>
          <w:rFonts w:hint="eastAsia" w:ascii="宋体" w:hAnsi="宋体" w:cs="宋体"/>
        </w:rPr>
        <w:t>经了解，项目施工期至竣工以来没有发生扰民事件。</w:t>
      </w:r>
    </w:p>
    <w:p>
      <w:pPr>
        <w:keepNext w:val="0"/>
        <w:keepLines w:val="0"/>
        <w:pageBreakBefore w:val="0"/>
        <w:widowControl w:val="0"/>
        <w:kinsoku/>
        <w:wordWrap w:val="0"/>
        <w:overflowPunct/>
        <w:topLinePunct w:val="0"/>
        <w:autoSpaceDE/>
        <w:autoSpaceDN/>
        <w:bidi w:val="0"/>
        <w:adjustRightInd w:val="0"/>
        <w:snapToGrid w:val="0"/>
        <w:ind w:firstLine="482"/>
        <w:textAlignment w:val="auto"/>
        <w:outlineLvl w:val="1"/>
        <w:rPr>
          <w:rFonts w:ascii="宋体" w:hAnsi="宋体" w:cs="宋体"/>
          <w:b/>
          <w:bCs/>
          <w:color w:val="5B9BD5" w:themeColor="accent1"/>
          <w14:textFill>
            <w14:solidFill>
              <w14:schemeClr w14:val="accent1"/>
            </w14:solidFill>
          </w14:textFill>
        </w:rPr>
      </w:pPr>
      <w:bookmarkStart w:id="305" w:name="_Toc28008_WPSOffice_Level1"/>
      <w:bookmarkStart w:id="306" w:name="_Toc27907_WPSOffice_Level1"/>
      <w:bookmarkStart w:id="307" w:name="_Toc30941_WPSOffice_Level1"/>
      <w:bookmarkStart w:id="308" w:name="_Toc23955_WPSOffice_Level1"/>
      <w:bookmarkStart w:id="309" w:name="_Toc16690_WPSOffice_Level1"/>
      <w:bookmarkStart w:id="310" w:name="_Toc27717_WPSOffice_Level1"/>
      <w:bookmarkStart w:id="311" w:name="_Toc31833"/>
      <w:r>
        <w:rPr>
          <w:rFonts w:hint="eastAsia" w:ascii="宋体" w:hAnsi="宋体" w:cs="宋体"/>
          <w:b/>
          <w:bCs/>
        </w:rPr>
        <w:t>（</w:t>
      </w:r>
      <w:r>
        <w:rPr>
          <w:rFonts w:hint="eastAsia"/>
          <w:b/>
          <w:bCs/>
        </w:rPr>
        <w:t>6</w:t>
      </w:r>
      <w:r>
        <w:rPr>
          <w:rFonts w:hint="eastAsia" w:ascii="宋体" w:hAnsi="宋体" w:cs="宋体"/>
          <w:b/>
          <w:bCs/>
        </w:rPr>
        <w:t>）对环评报告表及批复要求落实情况</w:t>
      </w:r>
      <w:bookmarkEnd w:id="305"/>
      <w:bookmarkEnd w:id="306"/>
      <w:bookmarkEnd w:id="307"/>
      <w:bookmarkEnd w:id="308"/>
      <w:bookmarkEnd w:id="309"/>
      <w:bookmarkEnd w:id="310"/>
      <w:bookmarkEnd w:id="311"/>
    </w:p>
    <w:p>
      <w:pPr>
        <w:keepNext w:val="0"/>
        <w:keepLines w:val="0"/>
        <w:pageBreakBefore w:val="0"/>
        <w:widowControl w:val="0"/>
        <w:kinsoku/>
        <w:wordWrap w:val="0"/>
        <w:overflowPunct/>
        <w:topLinePunct w:val="0"/>
        <w:autoSpaceDE/>
        <w:autoSpaceDN/>
        <w:bidi w:val="0"/>
        <w:adjustRightInd w:val="0"/>
        <w:snapToGrid w:val="0"/>
        <w:ind w:firstLine="480"/>
        <w:textAlignment w:val="auto"/>
      </w:pPr>
      <w:r>
        <w:rPr>
          <w:rFonts w:hint="eastAsia" w:ascii="宋体" w:hAnsi="宋体" w:cs="宋体"/>
        </w:rPr>
        <w:t>对环评报告表审批意见要求已基本落实，具体见表</w:t>
      </w:r>
      <w:r>
        <w:rPr>
          <w:rFonts w:hint="eastAsia"/>
          <w:lang w:val="en-US" w:eastAsia="zh-CN"/>
        </w:rPr>
        <w:t>11</w:t>
      </w:r>
      <w:r>
        <w:t>-1。</w:t>
      </w:r>
    </w:p>
    <w:p>
      <w:pPr>
        <w:pStyle w:val="2"/>
      </w:pPr>
    </w:p>
    <w:p>
      <w:pPr>
        <w:pStyle w:val="16"/>
        <w:spacing w:line="360" w:lineRule="auto"/>
        <w:rPr>
          <w:rFonts w:ascii="宋体" w:hAnsi="宋体" w:cs="宋体"/>
          <w:bCs/>
          <w:color w:val="000000"/>
        </w:rPr>
      </w:pPr>
      <w:r>
        <w:rPr>
          <w:rFonts w:hint="eastAsia" w:ascii="黑体" w:hAnsi="黑体" w:eastAsia="黑体" w:cs="黑体"/>
          <w:b w:val="0"/>
          <w:bCs/>
          <w:sz w:val="24"/>
          <w:szCs w:val="24"/>
        </w:rPr>
        <w:t>表</w:t>
      </w:r>
      <w:r>
        <w:rPr>
          <w:rFonts w:hint="eastAsia" w:ascii="黑体" w:hAnsi="黑体" w:eastAsia="黑体" w:cs="黑体"/>
          <w:b w:val="0"/>
          <w:bCs/>
          <w:sz w:val="24"/>
          <w:szCs w:val="24"/>
          <w:lang w:val="en-US" w:eastAsia="zh-CN"/>
        </w:rPr>
        <w:t>11</w:t>
      </w:r>
      <w:r>
        <w:rPr>
          <w:rFonts w:hint="eastAsia" w:ascii="黑体" w:hAnsi="黑体" w:eastAsia="黑体" w:cs="黑体"/>
          <w:b w:val="0"/>
          <w:bCs/>
          <w:sz w:val="24"/>
          <w:szCs w:val="24"/>
        </w:rPr>
        <w:t>-1  环评报告表审批意见落实情况</w:t>
      </w:r>
    </w:p>
    <w:tbl>
      <w:tblPr>
        <w:tblStyle w:val="12"/>
        <w:tblW w:w="94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17"/>
        <w:gridCol w:w="47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717" w:type="dxa"/>
            <w:tcBorders>
              <w:tl2br w:val="nil"/>
              <w:tr2bl w:val="nil"/>
            </w:tcBorders>
            <w:noWrap w:val="0"/>
            <w:vAlign w:val="center"/>
          </w:tcPr>
          <w:p>
            <w:pPr>
              <w:tabs>
                <w:tab w:val="left" w:pos="7662"/>
                <w:tab w:val="left" w:pos="8572"/>
                <w:tab w:val="left" w:pos="8677"/>
              </w:tabs>
              <w:spacing w:after="0" w:line="360" w:lineRule="auto"/>
              <w:ind w:left="0" w:leftChars="0" w:firstLine="0" w:firstLineChars="0"/>
              <w:jc w:val="center"/>
              <w:rPr>
                <w:rFonts w:hint="default" w:ascii="Times New Roman" w:hAnsi="Times New Roman" w:cs="Times New Roman" w:eastAsiaTheme="minorEastAsia"/>
                <w:color w:val="000000"/>
                <w:kern w:val="21"/>
                <w:sz w:val="24"/>
                <w:szCs w:val="24"/>
              </w:rPr>
            </w:pPr>
            <w:bookmarkStart w:id="312" w:name="_Toc26950_WPSOffice_Level1"/>
            <w:bookmarkStart w:id="313" w:name="_Toc30581"/>
            <w:bookmarkStart w:id="314" w:name="_Toc28796"/>
            <w:r>
              <w:rPr>
                <w:rFonts w:hint="default" w:ascii="Times New Roman" w:hAnsi="Times New Roman" w:cs="Times New Roman" w:eastAsiaTheme="minorEastAsia"/>
                <w:b/>
                <w:bCs/>
                <w:sz w:val="24"/>
                <w:szCs w:val="24"/>
              </w:rPr>
              <w:t>报告表</w:t>
            </w:r>
            <w:r>
              <w:rPr>
                <w:rFonts w:hint="eastAsia" w:cs="Times New Roman" w:eastAsiaTheme="minorEastAsia"/>
                <w:b/>
                <w:bCs/>
                <w:sz w:val="24"/>
                <w:szCs w:val="24"/>
                <w:lang w:eastAsia="zh-CN"/>
              </w:rPr>
              <w:t>对照批复</w:t>
            </w:r>
            <w:r>
              <w:rPr>
                <w:rFonts w:hint="default" w:ascii="Times New Roman" w:hAnsi="Times New Roman" w:cs="Times New Roman" w:eastAsiaTheme="minorEastAsia"/>
                <w:b/>
                <w:bCs/>
                <w:sz w:val="24"/>
                <w:szCs w:val="24"/>
              </w:rPr>
              <w:t>要求</w:t>
            </w:r>
          </w:p>
        </w:tc>
        <w:tc>
          <w:tcPr>
            <w:tcW w:w="4718" w:type="dxa"/>
            <w:tcBorders>
              <w:tl2br w:val="nil"/>
              <w:tr2bl w:val="nil"/>
            </w:tcBorders>
            <w:noWrap w:val="0"/>
            <w:vAlign w:val="center"/>
          </w:tcPr>
          <w:p>
            <w:pPr>
              <w:tabs>
                <w:tab w:val="left" w:pos="7662"/>
                <w:tab w:val="left" w:pos="8572"/>
                <w:tab w:val="left" w:pos="8677"/>
              </w:tabs>
              <w:spacing w:after="0" w:line="360" w:lineRule="auto"/>
              <w:ind w:left="0" w:leftChars="0" w:firstLine="0" w:firstLineChars="0"/>
              <w:jc w:val="center"/>
              <w:rPr>
                <w:rFonts w:hint="default" w:ascii="Times New Roman" w:hAnsi="Times New Roman" w:cs="Times New Roman" w:eastAsiaTheme="minorEastAsia"/>
                <w:color w:val="000000"/>
                <w:kern w:val="21"/>
                <w:sz w:val="24"/>
                <w:szCs w:val="24"/>
              </w:rPr>
            </w:pPr>
            <w:r>
              <w:rPr>
                <w:rFonts w:hint="default" w:ascii="Times New Roman" w:hAnsi="Times New Roman" w:cs="Times New Roman" w:eastAsiaTheme="minorEastAsia"/>
                <w:b/>
                <w:bCs/>
                <w:color w:val="000000"/>
                <w:kern w:val="21"/>
                <w:sz w:val="24"/>
                <w:szCs w:val="24"/>
              </w:rPr>
              <w:t>实际落实情况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4717" w:type="dxa"/>
            <w:tcBorders>
              <w:tl2br w:val="nil"/>
              <w:tr2bl w:val="nil"/>
            </w:tcBorders>
            <w:noWrap w:val="0"/>
            <w:vAlign w:val="center"/>
          </w:tcPr>
          <w:p>
            <w:pPr>
              <w:wordWrap w:val="0"/>
              <w:spacing w:after="0" w:line="360" w:lineRule="auto"/>
              <w:ind w:left="0" w:leftChars="0" w:firstLine="0" w:firstLineChars="0"/>
              <w:jc w:val="center"/>
              <w:rPr>
                <w:rFonts w:hint="default" w:ascii="Times New Roman" w:hAnsi="Times New Roman" w:cs="Times New Roman" w:eastAsiaTheme="minorEastAsia"/>
                <w:color w:val="000000"/>
                <w:sz w:val="24"/>
                <w:szCs w:val="24"/>
              </w:rPr>
            </w:pPr>
            <w:r>
              <w:rPr>
                <w:rFonts w:hint="eastAsia"/>
                <w:color w:val="auto"/>
                <w:sz w:val="24"/>
                <w:szCs w:val="24"/>
                <w:highlight w:val="none"/>
                <w:lang w:eastAsia="zh-CN"/>
              </w:rPr>
              <w:t>项目污水经预处理达到</w:t>
            </w:r>
            <w:r>
              <w:rPr>
                <w:rFonts w:hint="eastAsia"/>
                <w:b w:val="0"/>
                <w:bCs w:val="0"/>
                <w:color w:val="auto"/>
                <w:sz w:val="24"/>
                <w:szCs w:val="24"/>
                <w:highlight w:val="none"/>
                <w:lang w:eastAsia="zh-CN"/>
              </w:rPr>
              <w:t>广东省地方标准《水污染物排放限值》（</w:t>
            </w:r>
            <w:r>
              <w:rPr>
                <w:rFonts w:hint="eastAsia"/>
                <w:b w:val="0"/>
                <w:bCs w:val="0"/>
                <w:color w:val="auto"/>
                <w:sz w:val="24"/>
                <w:szCs w:val="24"/>
                <w:highlight w:val="none"/>
                <w:lang w:val="en-US" w:eastAsia="zh-CN"/>
              </w:rPr>
              <w:t>DB44/26-2001</w:t>
            </w:r>
            <w:r>
              <w:rPr>
                <w:rFonts w:hint="eastAsia"/>
                <w:b w:val="0"/>
                <w:bCs w:val="0"/>
                <w:color w:val="auto"/>
                <w:sz w:val="24"/>
                <w:szCs w:val="24"/>
                <w:highlight w:val="none"/>
                <w:lang w:eastAsia="zh-CN"/>
              </w:rPr>
              <w:t>）中第二时段第二类污染物最高允许排放浓度的三级标准</w:t>
            </w:r>
            <w:r>
              <w:rPr>
                <w:rFonts w:hint="eastAsia"/>
                <w:color w:val="auto"/>
                <w:sz w:val="24"/>
                <w:szCs w:val="24"/>
                <w:highlight w:val="none"/>
                <w:lang w:eastAsia="zh-CN"/>
              </w:rPr>
              <w:t>后通过市政污水管网汇入汕头市南区污水处理厂进行集中处理后排入濠江。</w:t>
            </w:r>
          </w:p>
        </w:tc>
        <w:tc>
          <w:tcPr>
            <w:tcW w:w="4718" w:type="dxa"/>
            <w:tcBorders>
              <w:tl2br w:val="nil"/>
              <w:tr2bl w:val="nil"/>
            </w:tcBorders>
            <w:noWrap w:val="0"/>
            <w:vAlign w:val="center"/>
          </w:tcPr>
          <w:p>
            <w:pPr>
              <w:tabs>
                <w:tab w:val="left" w:pos="7662"/>
                <w:tab w:val="left" w:pos="8572"/>
                <w:tab w:val="left" w:pos="8677"/>
              </w:tabs>
              <w:spacing w:after="0" w:line="360" w:lineRule="auto"/>
              <w:ind w:left="0" w:leftChars="0" w:firstLine="0" w:firstLineChars="0"/>
              <w:jc w:val="center"/>
              <w:rPr>
                <w:rFonts w:hint="default" w:ascii="Times New Roman" w:hAnsi="Times New Roman" w:cs="Times New Roman" w:eastAsiaTheme="minorEastAsia"/>
                <w:color w:val="000000"/>
                <w:kern w:val="21"/>
                <w:sz w:val="24"/>
                <w:szCs w:val="24"/>
                <w:lang w:val="en-US"/>
              </w:rPr>
            </w:pPr>
            <w:r>
              <w:rPr>
                <w:rFonts w:hint="eastAsia" w:cs="Times New Roman" w:eastAsiaTheme="minorEastAsia"/>
                <w:color w:val="000000"/>
                <w:kern w:val="21"/>
                <w:sz w:val="24"/>
                <w:szCs w:val="24"/>
                <w:lang w:val="en-US" w:eastAsia="zh-CN"/>
              </w:rPr>
              <w:t>已落实，项目施工过程中建设完善的排污管道、三级化粪池和三级隔油池，运营期间污水通过三级化粪池和三级隔油池进行预处理。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4717" w:type="dxa"/>
            <w:tcBorders>
              <w:tl2br w:val="nil"/>
              <w:tr2bl w:val="nil"/>
            </w:tcBorders>
            <w:noWrap w:val="0"/>
            <w:vAlign w:val="center"/>
          </w:tcPr>
          <w:p>
            <w:pPr>
              <w:wordWrap w:val="0"/>
              <w:spacing w:after="0" w:line="360" w:lineRule="auto"/>
              <w:ind w:left="0" w:leftChars="0" w:firstLine="0" w:firstLineChars="0"/>
              <w:jc w:val="center"/>
              <w:rPr>
                <w:rFonts w:hint="default" w:ascii="Times New Roman" w:hAnsi="Times New Roman" w:cs="Times New Roman" w:eastAsiaTheme="minorEastAsia"/>
                <w:color w:val="000000"/>
                <w:kern w:val="21"/>
                <w:sz w:val="24"/>
                <w:szCs w:val="24"/>
              </w:rPr>
            </w:pPr>
            <w:r>
              <w:rPr>
                <w:rFonts w:hint="default" w:ascii="Times New Roman" w:hAnsi="Times New Roman" w:cs="Times New Roman" w:eastAsiaTheme="minorEastAsia"/>
                <w:color w:val="000000"/>
                <w:kern w:val="21"/>
                <w:sz w:val="24"/>
                <w:szCs w:val="24"/>
              </w:rPr>
              <w:t>本项目运营期间主要噪声源设备须落实减振降噪措施；</w:t>
            </w:r>
            <w:r>
              <w:rPr>
                <w:rFonts w:hint="default" w:ascii="Times New Roman" w:hAnsi="Times New Roman" w:cs="Times New Roman" w:eastAsiaTheme="minorEastAsia"/>
                <w:color w:val="000000"/>
                <w:sz w:val="24"/>
                <w:szCs w:val="24"/>
              </w:rPr>
              <w:t>厂界噪声应符合《工业企业厂界环境噪声排放标准》（GB12348-2008）中的</w:t>
            </w:r>
            <w:r>
              <w:rPr>
                <w:rFonts w:hint="eastAsia" w:cs="Times New Roman" w:eastAsiaTheme="minorEastAsia"/>
                <w:color w:val="000000"/>
                <w:sz w:val="24"/>
                <w:szCs w:val="24"/>
                <w:lang w:val="en-US" w:eastAsia="zh-CN"/>
              </w:rPr>
              <w:t>3</w:t>
            </w:r>
            <w:r>
              <w:rPr>
                <w:rFonts w:hint="default" w:ascii="Times New Roman" w:hAnsi="Times New Roman" w:cs="Times New Roman" w:eastAsiaTheme="minorEastAsia"/>
                <w:color w:val="000000"/>
                <w:sz w:val="24"/>
                <w:szCs w:val="24"/>
              </w:rPr>
              <w:t>类标准。</w:t>
            </w:r>
          </w:p>
        </w:tc>
        <w:tc>
          <w:tcPr>
            <w:tcW w:w="4718" w:type="dxa"/>
            <w:tcBorders>
              <w:tl2br w:val="nil"/>
              <w:tr2bl w:val="nil"/>
            </w:tcBorders>
            <w:noWrap w:val="0"/>
            <w:vAlign w:val="center"/>
          </w:tcPr>
          <w:p>
            <w:pPr>
              <w:tabs>
                <w:tab w:val="left" w:pos="7662"/>
                <w:tab w:val="left" w:pos="8572"/>
                <w:tab w:val="left" w:pos="8677"/>
              </w:tabs>
              <w:spacing w:after="0" w:line="360" w:lineRule="auto"/>
              <w:ind w:left="0" w:leftChars="0" w:firstLine="0" w:firstLineChars="0"/>
              <w:jc w:val="center"/>
              <w:rPr>
                <w:rFonts w:hint="default" w:ascii="Times New Roman" w:hAnsi="Times New Roman" w:cs="Times New Roman" w:eastAsiaTheme="minorEastAsia"/>
                <w:color w:val="000000"/>
                <w:kern w:val="21"/>
                <w:sz w:val="24"/>
                <w:szCs w:val="24"/>
              </w:rPr>
            </w:pPr>
            <w:r>
              <w:rPr>
                <w:rFonts w:hint="default" w:ascii="Times New Roman" w:hAnsi="Times New Roman" w:cs="Times New Roman" w:eastAsiaTheme="minorEastAsia"/>
                <w:color w:val="000000"/>
                <w:kern w:val="21"/>
                <w:sz w:val="24"/>
                <w:szCs w:val="24"/>
              </w:rPr>
              <w:t>已落实，</w:t>
            </w:r>
            <w:r>
              <w:rPr>
                <w:rFonts w:hint="eastAsia"/>
                <w:bCs/>
                <w:color w:val="auto"/>
                <w:sz w:val="24"/>
                <w:highlight w:val="none"/>
              </w:rPr>
              <w:t>项目生产过程中</w:t>
            </w:r>
            <w:r>
              <w:rPr>
                <w:rFonts w:hint="eastAsia"/>
                <w:bCs/>
                <w:color w:val="auto"/>
                <w:sz w:val="24"/>
                <w:highlight w:val="none"/>
                <w:lang w:eastAsia="zh-CN"/>
              </w:rPr>
              <w:t>，</w:t>
            </w:r>
            <w:r>
              <w:rPr>
                <w:rFonts w:hint="eastAsia"/>
                <w:bCs/>
                <w:color w:val="auto"/>
                <w:sz w:val="24"/>
                <w:highlight w:val="none"/>
                <w:lang w:val="en-US" w:eastAsia="zh-CN"/>
              </w:rPr>
              <w:t>通过落实减震、安装消音器、加强管理和绿化等</w:t>
            </w:r>
            <w:r>
              <w:rPr>
                <w:rFonts w:hint="eastAsia"/>
                <w:bCs/>
                <w:color w:val="auto"/>
                <w:sz w:val="24"/>
                <w:highlight w:val="none"/>
              </w:rPr>
              <w:t>有效措施减少噪声的影响</w:t>
            </w:r>
            <w:r>
              <w:rPr>
                <w:rFonts w:hint="eastAsia"/>
                <w:bCs/>
                <w:color w:val="auto"/>
                <w:sz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4717" w:type="dxa"/>
            <w:tcBorders>
              <w:tl2br w:val="nil"/>
              <w:tr2bl w:val="nil"/>
            </w:tcBorders>
            <w:noWrap w:val="0"/>
            <w:vAlign w:val="center"/>
          </w:tcPr>
          <w:p>
            <w:pPr>
              <w:wordWrap w:val="0"/>
              <w:spacing w:after="0" w:line="360" w:lineRule="auto"/>
              <w:ind w:left="0" w:leftChars="0" w:firstLine="0" w:firstLineChars="0"/>
              <w:jc w:val="center"/>
              <w:rPr>
                <w:rFonts w:hint="default" w:ascii="Times New Roman" w:hAnsi="Times New Roman" w:cs="Times New Roman" w:eastAsiaTheme="minorEastAsia"/>
                <w:color w:val="000000"/>
                <w:kern w:val="21"/>
                <w:sz w:val="24"/>
                <w:szCs w:val="24"/>
                <w:lang w:val="en-US" w:eastAsia="zh-CN"/>
              </w:rPr>
            </w:pPr>
            <w:r>
              <w:rPr>
                <w:rFonts w:hint="eastAsia" w:cs="Times New Roman" w:eastAsiaTheme="minorEastAsia"/>
                <w:color w:val="000000"/>
                <w:kern w:val="21"/>
                <w:sz w:val="24"/>
                <w:szCs w:val="24"/>
                <w:lang w:val="en-US" w:eastAsia="zh-CN"/>
              </w:rPr>
              <w:t>项目补漆间产生有机废气经过</w:t>
            </w:r>
            <w:r>
              <w:rPr>
                <w:rFonts w:hint="default" w:ascii="Times New Roman" w:hAnsi="Times New Roman" w:cs="Times New Roman"/>
                <w:color w:val="auto"/>
                <w:sz w:val="24"/>
                <w:highlight w:val="none"/>
                <w:lang w:val="en-US" w:eastAsia="zh-CN"/>
              </w:rPr>
              <w:t>UV光催化净化器和活性炭吸附并加强</w:t>
            </w:r>
            <w:r>
              <w:rPr>
                <w:rFonts w:hint="eastAsia" w:cs="Times New Roman"/>
                <w:color w:val="auto"/>
                <w:sz w:val="24"/>
                <w:highlight w:val="none"/>
                <w:lang w:val="en-US" w:eastAsia="zh-CN"/>
              </w:rPr>
              <w:t>通风后排放，</w:t>
            </w:r>
            <w:r>
              <w:rPr>
                <w:rFonts w:hint="default" w:ascii="Times New Roman" w:hAnsi="Times New Roman" w:cs="Times New Roman"/>
                <w:color w:val="auto"/>
                <w:sz w:val="24"/>
                <w:highlight w:val="none"/>
                <w:lang w:val="en-US" w:eastAsia="zh-CN"/>
              </w:rPr>
              <w:t>漆雾执行</w:t>
            </w:r>
            <w:r>
              <w:rPr>
                <w:rFonts w:hint="default" w:ascii="Times New Roman" w:hAnsi="Times New Roman" w:cs="Times New Roman"/>
                <w:color w:val="auto"/>
                <w:sz w:val="24"/>
                <w:highlight w:val="none"/>
              </w:rPr>
              <w:t>广东省《大气污染物排放限值》（DB44/27-2001）第二时段二级排放标准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有机废气</w:t>
            </w:r>
            <w:r>
              <w:rPr>
                <w:rFonts w:hint="default" w:ascii="Times New Roman" w:hAnsi="Times New Roman" w:cs="Times New Roman"/>
                <w:color w:val="auto"/>
                <w:sz w:val="24"/>
                <w:highlight w:val="none"/>
                <w:lang w:eastAsia="zh-CN"/>
              </w:rPr>
              <w:t>执行广东省地方标准《表面涂装（汽车制造业）挥发性有机化合物排放标准》（</w:t>
            </w:r>
            <w:r>
              <w:rPr>
                <w:rFonts w:hint="default" w:ascii="Times New Roman" w:hAnsi="Times New Roman" w:cs="Times New Roman"/>
                <w:color w:val="auto"/>
                <w:sz w:val="24"/>
                <w:highlight w:val="none"/>
                <w:lang w:val="en-US" w:eastAsia="zh-CN"/>
              </w:rPr>
              <w:t>DB44/816-2010</w:t>
            </w:r>
            <w:r>
              <w:rPr>
                <w:rFonts w:hint="default" w:ascii="Times New Roman" w:hAnsi="Times New Roman" w:cs="Times New Roman"/>
                <w:color w:val="auto"/>
                <w:sz w:val="24"/>
                <w:highlight w:val="none"/>
                <w:lang w:eastAsia="zh-CN"/>
              </w:rPr>
              <w:t>）中第Ⅱ时段</w:t>
            </w:r>
            <w:r>
              <w:rPr>
                <w:rFonts w:hint="default" w:ascii="Times New Roman" w:hAnsi="Times New Roman" w:cs="Times New Roman"/>
                <w:color w:val="auto"/>
                <w:sz w:val="24"/>
                <w:highlight w:val="none"/>
                <w:lang w:val="en-US" w:eastAsia="zh-CN"/>
              </w:rPr>
              <w:t>VOCs</w:t>
            </w:r>
            <w:r>
              <w:rPr>
                <w:rFonts w:hint="default" w:ascii="Times New Roman" w:hAnsi="Times New Roman" w:cs="Times New Roman"/>
                <w:color w:val="auto"/>
                <w:sz w:val="24"/>
                <w:highlight w:val="none"/>
                <w:lang w:eastAsia="zh-CN"/>
              </w:rPr>
              <w:t>排气筒</w:t>
            </w:r>
            <w:r>
              <w:rPr>
                <w:rFonts w:hint="default" w:ascii="Times New Roman" w:hAnsi="Times New Roman" w:cs="Times New Roman"/>
                <w:color w:val="auto"/>
                <w:sz w:val="24"/>
                <w:highlight w:val="none"/>
                <w:lang w:val="en-US" w:eastAsia="zh-CN"/>
              </w:rPr>
              <w:t>排放限值及无组织排放监控点浓度限值</w:t>
            </w:r>
            <w:r>
              <w:rPr>
                <w:rFonts w:hint="eastAsia" w:cs="Times New Roman"/>
                <w:color w:val="auto"/>
                <w:sz w:val="24"/>
                <w:highlight w:val="none"/>
                <w:lang w:val="en-US" w:eastAsia="zh-CN"/>
              </w:rPr>
              <w:t>；</w:t>
            </w:r>
            <w:r>
              <w:rPr>
                <w:rFonts w:hint="default" w:ascii="Times New Roman" w:hAnsi="Times New Roman" w:cs="Times New Roman"/>
                <w:bCs/>
                <w:color w:val="auto"/>
                <w:sz w:val="24"/>
                <w:highlight w:val="none"/>
              </w:rPr>
              <w:t>厨房油烟废气经油烟净化设施处理达标后引至所在楼房天面排放</w:t>
            </w:r>
            <w:r>
              <w:rPr>
                <w:rFonts w:hint="eastAsia" w:cs="Times New Roman"/>
                <w:bCs/>
                <w:color w:val="auto"/>
                <w:sz w:val="24"/>
                <w:highlight w:val="none"/>
                <w:lang w:eastAsia="zh-CN"/>
              </w:rPr>
              <w:t>，</w:t>
            </w:r>
            <w:r>
              <w:rPr>
                <w:rFonts w:hint="default" w:ascii="Times New Roman" w:hAnsi="Times New Roman" w:cs="Times New Roman"/>
                <w:bCs/>
                <w:color w:val="auto"/>
                <w:sz w:val="24"/>
                <w:highlight w:val="none"/>
              </w:rPr>
              <w:t>油烟废气排放应符合《饮食业油烟排放标准（试行）》</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GB18483－2001</w:t>
            </w:r>
            <w:r>
              <w:rPr>
                <w:rFonts w:hint="default" w:ascii="Times New Roman" w:hAnsi="Times New Roman" w:cs="Times New Roman"/>
                <w:bCs/>
                <w:color w:val="auto"/>
                <w:sz w:val="24"/>
                <w:highlight w:val="none"/>
                <w:lang w:eastAsia="zh-CN"/>
              </w:rPr>
              <w:t>）中</w:t>
            </w:r>
            <w:r>
              <w:rPr>
                <w:rFonts w:hint="default" w:ascii="Times New Roman" w:hAnsi="Times New Roman" w:cs="Times New Roman"/>
                <w:bCs/>
                <w:color w:val="auto"/>
                <w:sz w:val="24"/>
                <w:highlight w:val="none"/>
              </w:rPr>
              <w:t>型规模标准要求。</w:t>
            </w:r>
          </w:p>
        </w:tc>
        <w:tc>
          <w:tcPr>
            <w:tcW w:w="4718" w:type="dxa"/>
            <w:tcBorders>
              <w:tl2br w:val="nil"/>
              <w:tr2bl w:val="nil"/>
            </w:tcBorders>
            <w:noWrap w:val="0"/>
            <w:vAlign w:val="center"/>
          </w:tcPr>
          <w:p>
            <w:pPr>
              <w:tabs>
                <w:tab w:val="left" w:pos="7662"/>
                <w:tab w:val="left" w:pos="8572"/>
                <w:tab w:val="left" w:pos="8677"/>
              </w:tabs>
              <w:spacing w:after="0" w:line="360" w:lineRule="auto"/>
              <w:ind w:left="0" w:leftChars="0" w:firstLine="0" w:firstLineChars="0"/>
              <w:jc w:val="center"/>
              <w:rPr>
                <w:rFonts w:hint="default" w:ascii="Times New Roman" w:hAnsi="Times New Roman" w:cs="Times New Roman" w:eastAsiaTheme="minorEastAsia"/>
                <w:color w:val="000000"/>
                <w:kern w:val="21"/>
                <w:sz w:val="24"/>
                <w:szCs w:val="24"/>
                <w:lang w:val="en-US" w:eastAsia="zh-CN"/>
              </w:rPr>
            </w:pPr>
            <w:r>
              <w:rPr>
                <w:rFonts w:hint="eastAsia" w:cs="Times New Roman" w:eastAsiaTheme="minorEastAsia"/>
                <w:color w:val="000000"/>
                <w:kern w:val="21"/>
                <w:sz w:val="24"/>
                <w:szCs w:val="24"/>
                <w:lang w:val="en-US" w:eastAsia="zh-CN"/>
              </w:rPr>
              <w:t>已落实，项目补漆间配备</w:t>
            </w:r>
            <w:r>
              <w:rPr>
                <w:rFonts w:hint="default" w:ascii="Times New Roman" w:hAnsi="Times New Roman" w:cs="Times New Roman"/>
                <w:color w:val="auto"/>
                <w:sz w:val="24"/>
                <w:highlight w:val="none"/>
                <w:lang w:val="en-US" w:eastAsia="zh-CN"/>
              </w:rPr>
              <w:t>UV光催化净化器和活性炭吸附</w:t>
            </w:r>
            <w:r>
              <w:rPr>
                <w:rFonts w:hint="eastAsia" w:cs="Times New Roman"/>
                <w:color w:val="auto"/>
                <w:sz w:val="24"/>
                <w:highlight w:val="none"/>
                <w:lang w:val="en-US" w:eastAsia="zh-CN"/>
              </w:rPr>
              <w:t>装置，将废气引至天面20m高排放，并且对该车间进行通风加强；项目员工厨房配备静电式油烟净化设施并设置专用油烟管道引至天面排放。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4717" w:type="dxa"/>
            <w:tcBorders>
              <w:tl2br w:val="nil"/>
              <w:tr2bl w:val="nil"/>
            </w:tcBorders>
            <w:noWrap w:val="0"/>
            <w:vAlign w:val="center"/>
          </w:tcPr>
          <w:p>
            <w:pPr>
              <w:wordWrap w:val="0"/>
              <w:spacing w:after="0" w:line="360" w:lineRule="auto"/>
              <w:ind w:left="0" w:leftChars="0" w:firstLine="0" w:firstLineChars="0"/>
              <w:jc w:val="center"/>
              <w:rPr>
                <w:rFonts w:hint="default" w:cs="Times New Roman" w:eastAsiaTheme="minorEastAsia"/>
                <w:color w:val="000000"/>
                <w:kern w:val="21"/>
                <w:sz w:val="24"/>
                <w:szCs w:val="24"/>
                <w:lang w:val="en-US" w:eastAsia="zh-CN"/>
              </w:rPr>
            </w:pPr>
            <w:r>
              <w:rPr>
                <w:rFonts w:hint="eastAsia" w:cs="Times New Roman" w:eastAsiaTheme="minorEastAsia"/>
                <w:color w:val="000000"/>
                <w:kern w:val="21"/>
                <w:sz w:val="24"/>
                <w:szCs w:val="24"/>
                <w:lang w:val="en-US" w:eastAsia="zh-CN"/>
              </w:rPr>
              <w:t>项目运营期间生活垃圾收集后交由环卫部门，日产日清；危险废物委托专业公司收集、处理。</w:t>
            </w:r>
            <w:r>
              <w:rPr>
                <w:rFonts w:hint="eastAsia"/>
                <w:color w:val="auto"/>
                <w:sz w:val="24"/>
                <w:highlight w:val="none"/>
                <w:lang w:eastAsia="zh-CN"/>
              </w:rPr>
              <w:t>危险废物的转移需遵守《广东省危险废物转移报告联单管理暂行规定》和《危险废物贮存污染控制标准》（</w:t>
            </w:r>
            <w:r>
              <w:rPr>
                <w:rFonts w:hint="eastAsia"/>
                <w:color w:val="auto"/>
                <w:sz w:val="24"/>
                <w:highlight w:val="none"/>
                <w:lang w:val="en-US" w:eastAsia="zh-CN"/>
              </w:rPr>
              <w:t>GB18597-2001</w:t>
            </w:r>
            <w:r>
              <w:rPr>
                <w:rFonts w:hint="eastAsia"/>
                <w:color w:val="auto"/>
                <w:sz w:val="24"/>
                <w:highlight w:val="none"/>
                <w:lang w:eastAsia="zh-CN"/>
              </w:rPr>
              <w:t>）及其</w:t>
            </w:r>
            <w:r>
              <w:rPr>
                <w:rFonts w:hint="eastAsia"/>
                <w:color w:val="auto"/>
                <w:sz w:val="24"/>
                <w:highlight w:val="none"/>
                <w:lang w:val="en-US" w:eastAsia="zh-CN"/>
              </w:rPr>
              <w:t>2013年修改单的相关规定，危险废物在贮存、运输、处置过程中须执行六联单制度。</w:t>
            </w:r>
          </w:p>
        </w:tc>
        <w:tc>
          <w:tcPr>
            <w:tcW w:w="4718" w:type="dxa"/>
            <w:tcBorders>
              <w:tl2br w:val="nil"/>
              <w:tr2bl w:val="nil"/>
            </w:tcBorders>
            <w:noWrap w:val="0"/>
            <w:vAlign w:val="center"/>
          </w:tcPr>
          <w:p>
            <w:pPr>
              <w:tabs>
                <w:tab w:val="left" w:pos="7662"/>
                <w:tab w:val="left" w:pos="8572"/>
                <w:tab w:val="left" w:pos="8677"/>
              </w:tabs>
              <w:spacing w:after="0" w:line="360" w:lineRule="auto"/>
              <w:ind w:left="0" w:leftChars="0" w:firstLine="0" w:firstLineChars="0"/>
              <w:jc w:val="center"/>
              <w:rPr>
                <w:rFonts w:hint="default" w:cs="Times New Roman" w:eastAsiaTheme="minorEastAsia"/>
                <w:color w:val="000000"/>
                <w:kern w:val="21"/>
                <w:sz w:val="24"/>
                <w:szCs w:val="24"/>
                <w:lang w:val="en-US" w:eastAsia="zh-CN"/>
              </w:rPr>
            </w:pPr>
            <w:r>
              <w:rPr>
                <w:rFonts w:hint="eastAsia" w:cs="Times New Roman" w:eastAsiaTheme="minorEastAsia"/>
                <w:color w:val="000000"/>
                <w:kern w:val="21"/>
                <w:sz w:val="24"/>
                <w:szCs w:val="24"/>
                <w:lang w:val="en-US" w:eastAsia="zh-CN"/>
              </w:rPr>
              <w:t>已落实，项目设置完善的生活垃圾收集系统，并配备完善的危废收集间，与有资质单位签订了相应的危废回收协议。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4717" w:type="dxa"/>
            <w:tcBorders>
              <w:tl2br w:val="nil"/>
              <w:tr2bl w:val="nil"/>
            </w:tcBorders>
            <w:noWrap w:val="0"/>
            <w:vAlign w:val="center"/>
          </w:tcPr>
          <w:p>
            <w:pPr>
              <w:wordWrap w:val="0"/>
              <w:spacing w:after="0" w:line="360" w:lineRule="auto"/>
              <w:ind w:left="0" w:leftChars="0" w:firstLine="0" w:firstLineChars="0"/>
              <w:jc w:val="center"/>
              <w:rPr>
                <w:rFonts w:hint="default" w:cs="Times New Roman" w:eastAsiaTheme="minorEastAsia"/>
                <w:color w:val="000000"/>
                <w:kern w:val="21"/>
                <w:sz w:val="24"/>
                <w:szCs w:val="24"/>
                <w:lang w:val="en-US" w:eastAsia="zh-CN"/>
              </w:rPr>
            </w:pPr>
            <w:r>
              <w:rPr>
                <w:rFonts w:hint="eastAsia" w:cs="Times New Roman" w:eastAsiaTheme="minorEastAsia"/>
                <w:color w:val="000000"/>
                <w:kern w:val="21"/>
                <w:sz w:val="24"/>
                <w:szCs w:val="24"/>
                <w:lang w:val="en-US" w:eastAsia="zh-CN"/>
              </w:rPr>
              <w:t>项目应严格执行环保“三同时”制度，竣工后建设单位应当按规定对环境保护设施进行验收。</w:t>
            </w:r>
          </w:p>
        </w:tc>
        <w:tc>
          <w:tcPr>
            <w:tcW w:w="4718" w:type="dxa"/>
            <w:tcBorders>
              <w:tl2br w:val="nil"/>
              <w:tr2bl w:val="nil"/>
            </w:tcBorders>
            <w:noWrap w:val="0"/>
            <w:vAlign w:val="center"/>
          </w:tcPr>
          <w:p>
            <w:pPr>
              <w:tabs>
                <w:tab w:val="left" w:pos="7662"/>
                <w:tab w:val="left" w:pos="8572"/>
                <w:tab w:val="left" w:pos="8677"/>
              </w:tabs>
              <w:spacing w:after="0" w:line="360" w:lineRule="auto"/>
              <w:ind w:left="0" w:leftChars="0" w:firstLine="0" w:firstLineChars="0"/>
              <w:jc w:val="center"/>
              <w:rPr>
                <w:rFonts w:hint="default" w:cs="Times New Roman" w:eastAsiaTheme="minorEastAsia"/>
                <w:color w:val="000000"/>
                <w:kern w:val="21"/>
                <w:sz w:val="24"/>
                <w:szCs w:val="24"/>
                <w:lang w:val="en-US" w:eastAsia="zh-CN"/>
              </w:rPr>
            </w:pPr>
            <w:r>
              <w:rPr>
                <w:rFonts w:hint="eastAsia" w:cs="Times New Roman" w:eastAsiaTheme="minorEastAsia"/>
                <w:color w:val="000000"/>
                <w:kern w:val="21"/>
                <w:sz w:val="24"/>
                <w:szCs w:val="24"/>
                <w:lang w:val="en-US" w:eastAsia="zh-CN"/>
              </w:rPr>
              <w:t>已落实</w:t>
            </w:r>
          </w:p>
        </w:tc>
      </w:tr>
      <w:bookmarkEnd w:id="312"/>
      <w:bookmarkEnd w:id="313"/>
      <w:bookmarkEnd w:id="314"/>
    </w:tbl>
    <w:p>
      <w:pPr>
        <w:pStyle w:val="3"/>
        <w:outlineLvl w:val="9"/>
        <w:rPr>
          <w:rFonts w:hint="default"/>
          <w:lang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pPr>
      <w:bookmarkStart w:id="315" w:name="_Toc21340"/>
      <w:r>
        <w:rPr>
          <w:rFonts w:hint="eastAsia"/>
          <w:lang w:val="en-US" w:eastAsia="zh-CN"/>
        </w:rPr>
        <w:t>12、</w:t>
      </w:r>
      <w:r>
        <w:rPr>
          <w:rFonts w:hint="eastAsia"/>
        </w:rPr>
        <w:t>结论与后续工作</w:t>
      </w:r>
      <w:bookmarkEnd w:id="315"/>
    </w:p>
    <w:p>
      <w:pPr>
        <w:pStyle w:val="4"/>
      </w:pPr>
      <w:bookmarkStart w:id="316" w:name="_Toc4960"/>
      <w:bookmarkStart w:id="317" w:name="_Toc959"/>
      <w:bookmarkStart w:id="318" w:name="_Toc24382"/>
      <w:bookmarkStart w:id="319" w:name="_Toc11066"/>
      <w:bookmarkStart w:id="320" w:name="_Toc16321"/>
      <w:bookmarkStart w:id="321" w:name="_Toc32171_WPSOffice_Level1"/>
      <w:bookmarkStart w:id="322" w:name="_Toc3564"/>
      <w:bookmarkStart w:id="323" w:name="_Toc31311_WPSOffice_Level1"/>
      <w:bookmarkStart w:id="324" w:name="_Toc2453_WPSOffice_Level1"/>
      <w:bookmarkStart w:id="325" w:name="_Toc9099"/>
      <w:bookmarkStart w:id="326" w:name="_Toc7985"/>
      <w:bookmarkStart w:id="327" w:name="_Toc31281_WPSOffice_Level1"/>
      <w:bookmarkStart w:id="328" w:name="_Toc31013_WPSOffice_Level1"/>
      <w:bookmarkStart w:id="329" w:name="_Toc22727_WPSOffice_Level1"/>
      <w:bookmarkStart w:id="330" w:name="_Toc7397"/>
      <w:bookmarkStart w:id="331" w:name="_Toc3916_WPSOffice_Level1"/>
      <w:bookmarkStart w:id="332" w:name="_Toc10134"/>
      <w:bookmarkStart w:id="333" w:name="_Toc24784"/>
      <w:r>
        <w:rPr>
          <w:rFonts w:hint="eastAsia"/>
          <w:lang w:val="en-US" w:eastAsia="zh-CN"/>
        </w:rPr>
        <w:t>12</w:t>
      </w:r>
      <w:r>
        <w:rPr>
          <w:rFonts w:hint="eastAsia"/>
        </w:rPr>
        <w:t>.1结论</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pPr>
        <w:pStyle w:val="5"/>
      </w:pPr>
      <w:bookmarkStart w:id="334" w:name="_Toc30636"/>
      <w:bookmarkStart w:id="335" w:name="_Toc12784"/>
      <w:bookmarkStart w:id="336" w:name="_Toc10090"/>
      <w:bookmarkStart w:id="337" w:name="_Toc3642"/>
      <w:bookmarkStart w:id="338" w:name="_Toc9844"/>
      <w:bookmarkStart w:id="339" w:name="_Toc11120"/>
      <w:bookmarkStart w:id="340" w:name="_Toc6277"/>
      <w:bookmarkStart w:id="341" w:name="_Toc8097"/>
      <w:bookmarkStart w:id="342" w:name="_Toc24861"/>
      <w:bookmarkStart w:id="343" w:name="_Toc24180"/>
      <w:r>
        <w:rPr>
          <w:rFonts w:hint="eastAsia"/>
          <w:lang w:val="en-US" w:eastAsia="zh-CN"/>
        </w:rPr>
        <w:t>12</w:t>
      </w:r>
      <w:r>
        <w:rPr>
          <w:rFonts w:hint="eastAsia"/>
        </w:rPr>
        <w:t>.1.1环保检查结论</w:t>
      </w:r>
      <w:bookmarkEnd w:id="334"/>
      <w:bookmarkEnd w:id="335"/>
      <w:bookmarkEnd w:id="336"/>
      <w:bookmarkEnd w:id="337"/>
      <w:bookmarkEnd w:id="338"/>
      <w:bookmarkEnd w:id="339"/>
      <w:bookmarkEnd w:id="340"/>
      <w:bookmarkEnd w:id="341"/>
      <w:bookmarkEnd w:id="342"/>
      <w:bookmarkEnd w:id="343"/>
    </w:p>
    <w:p>
      <w:pPr>
        <w:ind w:firstLine="480"/>
        <w:rPr>
          <w:rFonts w:ascii="宋体" w:hAnsi="宋体" w:cs="宋体"/>
        </w:rPr>
      </w:pPr>
      <w:r>
        <w:rPr>
          <w:rFonts w:hint="eastAsia"/>
          <w:lang w:eastAsia="zh-CN"/>
        </w:rPr>
        <w:t>海上风电智能制造项目</w:t>
      </w:r>
      <w:r>
        <w:rPr>
          <w:rFonts w:hint="eastAsia" w:ascii="宋体" w:hAnsi="宋体" w:cs="宋体"/>
        </w:rPr>
        <w:t>能根据《建设项目环境保护管理条例》</w:t>
      </w:r>
      <w:r>
        <w:t>（2017年9月1日；2018年4月28日修正）</w:t>
      </w:r>
      <w:r>
        <w:rPr>
          <w:rFonts w:hint="eastAsia" w:ascii="宋体" w:hAnsi="宋体" w:cs="宋体"/>
        </w:rPr>
        <w:t>的要求进行环境影响评价，能够按照“环评报告表”的要求和</w:t>
      </w:r>
      <w:r>
        <w:rPr>
          <w:rFonts w:hint="eastAsia"/>
          <w:lang w:val="en-US" w:eastAsia="zh-CN"/>
        </w:rPr>
        <w:t>汕头市濠江区城市建设管理和环境保护局</w:t>
      </w:r>
      <w:r>
        <w:rPr>
          <w:rFonts w:hint="eastAsia" w:ascii="宋体" w:hAnsi="宋体" w:cs="宋体"/>
        </w:rPr>
        <w:t>对环评文件的审批意见进行污染治理设施的设计和施工，落实其审批意见提出的环保措施要求。</w:t>
      </w:r>
      <w:bookmarkStart w:id="344" w:name="_Toc29931"/>
      <w:bookmarkStart w:id="345" w:name="_Toc3097"/>
      <w:bookmarkStart w:id="346" w:name="_Toc11202"/>
      <w:bookmarkStart w:id="347" w:name="_Toc32460"/>
      <w:bookmarkStart w:id="348" w:name="_Toc31245"/>
    </w:p>
    <w:p>
      <w:pPr>
        <w:pStyle w:val="5"/>
      </w:pPr>
      <w:bookmarkStart w:id="349" w:name="_Toc26828"/>
      <w:bookmarkStart w:id="350" w:name="_Toc16832"/>
      <w:bookmarkStart w:id="351" w:name="_Toc22606"/>
      <w:bookmarkStart w:id="352" w:name="_Toc25197"/>
      <w:bookmarkStart w:id="353" w:name="_Toc21001"/>
      <w:r>
        <w:rPr>
          <w:rFonts w:hint="eastAsia"/>
          <w:lang w:val="en-US" w:eastAsia="zh-CN"/>
        </w:rPr>
        <w:t>12</w:t>
      </w:r>
      <w:r>
        <w:rPr>
          <w:rFonts w:hint="eastAsia"/>
        </w:rPr>
        <w:t>.1.2废水监测结论</w:t>
      </w:r>
      <w:bookmarkEnd w:id="349"/>
      <w:bookmarkEnd w:id="350"/>
      <w:bookmarkEnd w:id="351"/>
      <w:bookmarkEnd w:id="352"/>
      <w:bookmarkEnd w:id="353"/>
    </w:p>
    <w:p>
      <w:pPr>
        <w:ind w:firstLine="480"/>
        <w:jc w:val="left"/>
      </w:pPr>
      <w:r>
        <w:rPr>
          <w:rFonts w:hint="eastAsia"/>
        </w:rPr>
        <w:t>项目</w:t>
      </w:r>
      <w:r>
        <w:rPr>
          <w:rFonts w:hint="eastAsia"/>
          <w:lang w:val="en-US" w:eastAsia="zh-CN"/>
        </w:rPr>
        <w:t>污水</w:t>
      </w:r>
      <w:r>
        <w:rPr>
          <w:rFonts w:hint="eastAsia"/>
        </w:rPr>
        <w:t>排放口</w:t>
      </w:r>
      <w:r>
        <w:t>符合</w:t>
      </w:r>
      <w:r>
        <w:rPr>
          <w:rFonts w:hint="eastAsia"/>
          <w:b w:val="0"/>
          <w:bCs w:val="0"/>
          <w:color w:val="auto"/>
          <w:sz w:val="24"/>
          <w:szCs w:val="24"/>
          <w:highlight w:val="none"/>
          <w:lang w:eastAsia="zh-CN"/>
        </w:rPr>
        <w:t>广东省地方标准《水污染物排放限值》（</w:t>
      </w:r>
      <w:r>
        <w:rPr>
          <w:rFonts w:hint="eastAsia"/>
          <w:b w:val="0"/>
          <w:bCs w:val="0"/>
          <w:color w:val="auto"/>
          <w:sz w:val="24"/>
          <w:szCs w:val="24"/>
          <w:highlight w:val="none"/>
          <w:lang w:val="en-US" w:eastAsia="zh-CN"/>
        </w:rPr>
        <w:t>DB44/26-2001</w:t>
      </w:r>
      <w:r>
        <w:rPr>
          <w:rFonts w:hint="eastAsia"/>
          <w:b w:val="0"/>
          <w:bCs w:val="0"/>
          <w:color w:val="auto"/>
          <w:sz w:val="24"/>
          <w:szCs w:val="24"/>
          <w:highlight w:val="none"/>
          <w:lang w:eastAsia="zh-CN"/>
        </w:rPr>
        <w:t>）中第二时段第二类污染物最高允许排放浓度的三级标准。</w:t>
      </w:r>
    </w:p>
    <w:p>
      <w:pPr>
        <w:pStyle w:val="5"/>
      </w:pPr>
      <w:bookmarkStart w:id="354" w:name="_Toc26782"/>
      <w:bookmarkStart w:id="355" w:name="_Toc27114"/>
      <w:bookmarkStart w:id="356" w:name="_Toc11466"/>
      <w:bookmarkStart w:id="357" w:name="_Toc25311"/>
      <w:bookmarkStart w:id="358" w:name="_Toc13684"/>
      <w:r>
        <w:rPr>
          <w:rFonts w:hint="eastAsia"/>
          <w:lang w:val="en-US" w:eastAsia="zh-CN"/>
        </w:rPr>
        <w:t>12</w:t>
      </w:r>
      <w:r>
        <w:rPr>
          <w:rFonts w:hint="eastAsia"/>
        </w:rPr>
        <w:t>.1.3废气检测结论</w:t>
      </w:r>
      <w:bookmarkEnd w:id="354"/>
      <w:bookmarkEnd w:id="355"/>
      <w:bookmarkEnd w:id="356"/>
      <w:bookmarkEnd w:id="357"/>
      <w:bookmarkEnd w:id="358"/>
    </w:p>
    <w:p>
      <w:pPr>
        <w:ind w:firstLine="480"/>
        <w:jc w:val="left"/>
        <w:rPr>
          <w:rFonts w:hint="eastAsia" w:eastAsia="宋体"/>
          <w:lang w:eastAsia="zh-CN"/>
        </w:rPr>
      </w:pPr>
      <w:r>
        <w:t>漆雾</w:t>
      </w:r>
      <w:r>
        <w:rPr>
          <w:rFonts w:hint="eastAsia"/>
        </w:rPr>
        <w:t>符合</w:t>
      </w:r>
      <w:r>
        <w:t>广东省《大气污染物排放限值》（DB44/27-2001）第二时段二级排放标准</w:t>
      </w:r>
      <w:r>
        <w:rPr>
          <w:rFonts w:hint="eastAsia"/>
        </w:rPr>
        <w:t>；</w:t>
      </w:r>
      <w:r>
        <w:t>有机废气</w:t>
      </w:r>
      <w:r>
        <w:rPr>
          <w:rFonts w:hint="eastAsia"/>
        </w:rPr>
        <w:t>符合</w:t>
      </w:r>
      <w:r>
        <w:t>广东省地方标准《表面涂装（汽车制造业）挥发性有机化合物排放标准》（DB44/816-2010）中第Ⅱ时段</w:t>
      </w:r>
      <w:r>
        <w:rPr>
          <w:rFonts w:hint="eastAsia"/>
        </w:rPr>
        <w:t>甲苯与二甲苯、</w:t>
      </w:r>
      <w:r>
        <w:t>VOCs排气筒排放限值及无组织排放监控点浓度限值</w:t>
      </w:r>
      <w:r>
        <w:rPr>
          <w:rFonts w:hint="eastAsia"/>
        </w:rPr>
        <w:t>要求，二甲苯排放符合《大气污染物综合排放标准》（GB16297-</w:t>
      </w:r>
      <w:r>
        <w:t>1996</w:t>
      </w:r>
      <w:r>
        <w:rPr>
          <w:rFonts w:hint="eastAsia"/>
        </w:rPr>
        <w:t>）表2中排放速率限值要求</w:t>
      </w:r>
      <w:r>
        <w:t>；</w:t>
      </w:r>
      <w:r>
        <w:rPr>
          <w:bCs/>
        </w:rPr>
        <w:t>油烟废气排放符合《饮食业油烟排放标准（试行）》（GB18483－2001）中型规模标准要求。</w:t>
      </w:r>
    </w:p>
    <w:p>
      <w:pPr>
        <w:pStyle w:val="5"/>
      </w:pPr>
      <w:bookmarkStart w:id="359" w:name="_Toc21879"/>
      <w:bookmarkStart w:id="360" w:name="_Toc8576"/>
      <w:bookmarkStart w:id="361" w:name="_Toc5390"/>
      <w:bookmarkStart w:id="362" w:name="_Toc7061"/>
      <w:bookmarkStart w:id="363" w:name="_Toc25567"/>
      <w:r>
        <w:rPr>
          <w:rFonts w:hint="eastAsia"/>
          <w:lang w:val="en-US" w:eastAsia="zh-CN"/>
        </w:rPr>
        <w:t>12</w:t>
      </w:r>
      <w:r>
        <w:rPr>
          <w:rFonts w:hint="eastAsia"/>
        </w:rPr>
        <w:t>.1.4噪声检测结论</w:t>
      </w:r>
      <w:bookmarkEnd w:id="359"/>
      <w:bookmarkEnd w:id="360"/>
      <w:bookmarkEnd w:id="361"/>
      <w:bookmarkEnd w:id="362"/>
      <w:bookmarkEnd w:id="363"/>
    </w:p>
    <w:p>
      <w:pPr>
        <w:bidi w:val="0"/>
        <w:rPr>
          <w:rFonts w:ascii="Times New Roman" w:hAnsi="Times New Roman"/>
          <w:color w:val="auto"/>
        </w:rPr>
      </w:pPr>
      <w:r>
        <w:t>项目厂界噪声符合</w:t>
      </w:r>
      <w:r>
        <w:rPr>
          <w:rFonts w:hint="default"/>
        </w:rPr>
        <w:t>《工业企业厂界环境噪声排放标准》（GB12348-2008）</w:t>
      </w:r>
      <w:r>
        <w:rPr>
          <w:rFonts w:hint="eastAsia"/>
          <w:lang w:val="en-US" w:eastAsia="zh-CN"/>
        </w:rPr>
        <w:t>3</w:t>
      </w:r>
      <w:r>
        <w:rPr>
          <w:rFonts w:hint="default"/>
        </w:rPr>
        <w:t>类标准</w:t>
      </w:r>
      <w:r>
        <w:t>。</w:t>
      </w:r>
    </w:p>
    <w:p>
      <w:pPr>
        <w:pStyle w:val="5"/>
        <w:bidi w:val="0"/>
        <w:rPr>
          <w:rFonts w:hint="eastAsia" w:eastAsia="宋体"/>
          <w:lang w:eastAsia="zh-CN"/>
        </w:rPr>
      </w:pPr>
      <w:r>
        <w:rPr>
          <w:rFonts w:hint="eastAsia"/>
          <w:lang w:val="en-US" w:eastAsia="zh-CN"/>
        </w:rPr>
        <w:t>12</w:t>
      </w:r>
      <w:r>
        <w:rPr>
          <w:rFonts w:hint="eastAsia"/>
        </w:rPr>
        <w:t>.1.</w:t>
      </w:r>
      <w:r>
        <w:rPr>
          <w:rFonts w:hint="eastAsia"/>
          <w:lang w:val="en-US" w:eastAsia="zh-CN"/>
        </w:rPr>
        <w:t>5</w:t>
      </w:r>
      <w:r>
        <w:rPr>
          <w:rFonts w:hint="eastAsia"/>
          <w:lang w:eastAsia="zh-CN"/>
        </w:rPr>
        <w:t>污染物排放总量核算</w:t>
      </w:r>
    </w:p>
    <w:bookmarkEnd w:id="344"/>
    <w:bookmarkEnd w:id="345"/>
    <w:bookmarkEnd w:id="346"/>
    <w:bookmarkEnd w:id="347"/>
    <w:bookmarkEnd w:id="348"/>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630"/>
        <w:gridCol w:w="2339"/>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ind w:firstLine="0" w:firstLineChars="0"/>
            </w:pPr>
            <w:bookmarkStart w:id="364" w:name="_Toc19515_WPSOffice_Level1"/>
            <w:bookmarkStart w:id="365" w:name="_Toc16868_WPSOffice_Level1"/>
            <w:bookmarkStart w:id="366" w:name="_Toc19464"/>
            <w:bookmarkStart w:id="367" w:name="_Toc24663"/>
            <w:bookmarkStart w:id="368" w:name="_Toc32378"/>
            <w:bookmarkStart w:id="369" w:name="_Toc32667"/>
            <w:bookmarkStart w:id="370" w:name="_Toc20544"/>
            <w:bookmarkStart w:id="371" w:name="_Toc15697"/>
            <w:bookmarkStart w:id="372" w:name="_Toc20500_WPSOffice_Level1"/>
            <w:bookmarkStart w:id="373" w:name="_Toc22518_WPSOffice_Level1"/>
            <w:bookmarkStart w:id="374" w:name="_Toc25787_WPSOffice_Level1"/>
            <w:bookmarkStart w:id="375" w:name="_Toc8373_WPSOffice_Level1"/>
            <w:bookmarkStart w:id="376" w:name="_Toc15082"/>
            <w:bookmarkStart w:id="377" w:name="_Toc28695_WPSOffice_Level1"/>
            <w:r>
              <w:rPr>
                <w:rFonts w:hint="eastAsia"/>
              </w:rPr>
              <w:t>项目</w:t>
            </w:r>
          </w:p>
        </w:tc>
        <w:tc>
          <w:tcPr>
            <w:tcW w:w="1630" w:type="dxa"/>
          </w:tcPr>
          <w:p>
            <w:pPr>
              <w:spacing w:line="240" w:lineRule="auto"/>
              <w:ind w:firstLine="0" w:firstLineChars="0"/>
            </w:pPr>
            <w:r>
              <w:rPr>
                <w:rFonts w:hint="eastAsia"/>
              </w:rPr>
              <w:t>总量控制指标</w:t>
            </w:r>
          </w:p>
        </w:tc>
        <w:tc>
          <w:tcPr>
            <w:tcW w:w="2339" w:type="dxa"/>
          </w:tcPr>
          <w:p>
            <w:pPr>
              <w:spacing w:line="240" w:lineRule="auto"/>
              <w:ind w:firstLine="0" w:firstLineChars="0"/>
            </w:pPr>
            <w:r>
              <w:rPr>
                <w:rFonts w:hint="eastAsia"/>
              </w:rPr>
              <w:t>验收期间实际排放总量（40%产能）</w:t>
            </w:r>
          </w:p>
        </w:tc>
        <w:tc>
          <w:tcPr>
            <w:tcW w:w="2885" w:type="dxa"/>
          </w:tcPr>
          <w:p>
            <w:pPr>
              <w:spacing w:line="240" w:lineRule="auto"/>
              <w:ind w:firstLine="0" w:firstLineChars="0"/>
            </w:pPr>
            <w:r>
              <w:rPr>
                <w:rFonts w:hint="eastAsia"/>
              </w:rPr>
              <w:t>达到100%产能时实际排放总量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ind w:firstLine="0" w:firstLineChars="0"/>
              <w:jc w:val="center"/>
            </w:pPr>
            <w:r>
              <w:rPr>
                <w:rFonts w:hint="eastAsia"/>
              </w:rPr>
              <w:t>废气排放量</w:t>
            </w:r>
          </w:p>
        </w:tc>
        <w:tc>
          <w:tcPr>
            <w:tcW w:w="1630" w:type="dxa"/>
            <w:vAlign w:val="center"/>
          </w:tcPr>
          <w:p>
            <w:pPr>
              <w:ind w:firstLine="0" w:firstLineChars="0"/>
              <w:jc w:val="center"/>
            </w:pPr>
            <w:r>
              <w:rPr>
                <w:rFonts w:hint="eastAsia"/>
              </w:rPr>
              <w:t>22088万m</w:t>
            </w:r>
            <w:r>
              <w:rPr>
                <w:rFonts w:hint="eastAsia"/>
                <w:vertAlign w:val="superscript"/>
              </w:rPr>
              <w:t>3</w:t>
            </w:r>
            <w:r>
              <w:rPr>
                <w:rFonts w:hint="eastAsia"/>
              </w:rPr>
              <w:t>/a</w:t>
            </w:r>
          </w:p>
        </w:tc>
        <w:tc>
          <w:tcPr>
            <w:tcW w:w="2339" w:type="dxa"/>
            <w:vAlign w:val="center"/>
          </w:tcPr>
          <w:p>
            <w:pPr>
              <w:ind w:firstLine="0" w:firstLineChars="0"/>
              <w:jc w:val="center"/>
            </w:pPr>
            <w:r>
              <w:rPr>
                <w:rFonts w:hint="eastAsia"/>
              </w:rPr>
              <w:t>1107.407万m</w:t>
            </w:r>
            <w:r>
              <w:rPr>
                <w:rFonts w:hint="eastAsia"/>
                <w:vertAlign w:val="superscript"/>
              </w:rPr>
              <w:t>3</w:t>
            </w:r>
            <w:r>
              <w:rPr>
                <w:rFonts w:hint="eastAsia"/>
              </w:rPr>
              <w:t>/a</w:t>
            </w:r>
          </w:p>
        </w:tc>
        <w:tc>
          <w:tcPr>
            <w:tcW w:w="2885" w:type="dxa"/>
            <w:vAlign w:val="center"/>
          </w:tcPr>
          <w:p>
            <w:pPr>
              <w:ind w:firstLine="0" w:firstLineChars="0"/>
              <w:jc w:val="center"/>
            </w:pPr>
            <w:r>
              <w:rPr>
                <w:rFonts w:hint="eastAsia"/>
              </w:rPr>
              <w:t>2767.52万m</w:t>
            </w:r>
            <w:r>
              <w:rPr>
                <w:rFonts w:hint="eastAsia"/>
                <w:vertAlign w:val="superscript"/>
              </w:rPr>
              <w:t>3</w:t>
            </w:r>
            <w:r>
              <w:rPr>
                <w:rFonts w:hint="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ind w:firstLine="0" w:firstLineChars="0"/>
              <w:jc w:val="center"/>
            </w:pPr>
            <w:r>
              <w:rPr>
                <w:rFonts w:hint="eastAsia"/>
              </w:rPr>
              <w:t>VOCs</w:t>
            </w:r>
          </w:p>
        </w:tc>
        <w:tc>
          <w:tcPr>
            <w:tcW w:w="1630" w:type="dxa"/>
            <w:vAlign w:val="center"/>
          </w:tcPr>
          <w:p>
            <w:pPr>
              <w:ind w:firstLine="0" w:firstLineChars="0"/>
              <w:jc w:val="center"/>
            </w:pPr>
            <w:r>
              <w:rPr>
                <w:rFonts w:hint="eastAsia"/>
              </w:rPr>
              <w:t>13.815t/a</w:t>
            </w:r>
          </w:p>
        </w:tc>
        <w:tc>
          <w:tcPr>
            <w:tcW w:w="2339" w:type="dxa"/>
            <w:vAlign w:val="center"/>
          </w:tcPr>
          <w:p>
            <w:pPr>
              <w:ind w:firstLine="0" w:firstLineChars="0"/>
              <w:jc w:val="center"/>
            </w:pPr>
            <w:r>
              <w:rPr>
                <w:rFonts w:hint="eastAsia"/>
              </w:rPr>
              <w:t>0.0897t</w:t>
            </w:r>
          </w:p>
        </w:tc>
        <w:tc>
          <w:tcPr>
            <w:tcW w:w="2885" w:type="dxa"/>
            <w:vAlign w:val="center"/>
          </w:tcPr>
          <w:p>
            <w:pPr>
              <w:ind w:firstLine="0" w:firstLineChars="0"/>
              <w:jc w:val="center"/>
            </w:pPr>
            <w:r>
              <w:rPr>
                <w:rFonts w:hint="eastAsia"/>
              </w:rPr>
              <w:t>0.23t/a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vAlign w:val="center"/>
          </w:tcPr>
          <w:p>
            <w:pPr>
              <w:pStyle w:val="2"/>
              <w:jc w:val="both"/>
            </w:pPr>
            <w:r>
              <w:rPr>
                <w:rFonts w:ascii="Times New Roman"/>
                <w:sz w:val="21"/>
                <w:szCs w:val="21"/>
              </w:rPr>
              <w:t>根据本次验收监测工况（约40%）计算，其VOCs排放总量为0.0897t/a（废气排放量为1107.407万m</w:t>
            </w:r>
            <w:r>
              <w:rPr>
                <w:rFonts w:ascii="Times New Roman"/>
                <w:sz w:val="21"/>
                <w:szCs w:val="21"/>
                <w:vertAlign w:val="superscript"/>
              </w:rPr>
              <w:t>3</w:t>
            </w:r>
            <w:r>
              <w:rPr>
                <w:rFonts w:ascii="Times New Roman"/>
                <w:sz w:val="21"/>
                <w:szCs w:val="21"/>
              </w:rPr>
              <w:t>/a），如果按100%产能测算，其VOCs排放总量为0.23t/a（废气排放量约为2768.52万m</w:t>
            </w:r>
            <w:r>
              <w:rPr>
                <w:rFonts w:ascii="Times New Roman"/>
                <w:sz w:val="21"/>
                <w:szCs w:val="21"/>
                <w:vertAlign w:val="superscript"/>
              </w:rPr>
              <w:t>3</w:t>
            </w:r>
            <w:r>
              <w:rPr>
                <w:rFonts w:ascii="Times New Roman"/>
                <w:sz w:val="21"/>
                <w:szCs w:val="21"/>
              </w:rPr>
              <w:t>/a）。由于环评推荐总量是以最高允许排放速率（3.44kg/h）推算得出，所以数值较大，而项目补漆工艺实际使用油漆量较少，导致VOCs实际测算排放总量比环评推荐总量小得多。</w:t>
            </w:r>
          </w:p>
        </w:tc>
      </w:tr>
    </w:tbl>
    <w:p>
      <w:pPr>
        <w:pStyle w:val="4"/>
      </w:pPr>
      <w:bookmarkStart w:id="378" w:name="_Toc22252"/>
      <w:r>
        <w:rPr>
          <w:rFonts w:hint="eastAsia"/>
          <w:lang w:val="en-US" w:eastAsia="zh-CN"/>
        </w:rPr>
        <w:t>12</w:t>
      </w:r>
      <w:r>
        <w:rPr>
          <w:rFonts w:hint="eastAsia"/>
        </w:rPr>
        <w:t>.2后续工作</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ind w:firstLine="480"/>
      </w:pPr>
      <w:r>
        <w:rPr>
          <w:rFonts w:ascii="宋体" w:hAnsi="宋体" w:cs="宋体"/>
        </w:rPr>
        <w:t>（</w:t>
      </w:r>
      <w:r>
        <w:t>1</w:t>
      </w:r>
      <w:r>
        <w:rPr>
          <w:rFonts w:ascii="宋体" w:hAnsi="宋体" w:cs="宋体"/>
        </w:rPr>
        <w:t>）</w:t>
      </w:r>
      <w:r>
        <w:t>严格执行国家、地方相关的环保法律、法规，执行环保“三同时”制度和排污许可证制度，确保污染物达标排放。</w:t>
      </w:r>
    </w:p>
    <w:p>
      <w:pPr>
        <w:ind w:firstLine="480"/>
      </w:pPr>
      <w:r>
        <w:rPr>
          <w:rFonts w:ascii="宋体" w:hAnsi="宋体" w:cs="宋体"/>
        </w:rPr>
        <w:t>（</w:t>
      </w:r>
      <w:r>
        <w:t>2</w:t>
      </w:r>
      <w:r>
        <w:rPr>
          <w:rFonts w:ascii="宋体" w:hAnsi="宋体" w:cs="宋体"/>
        </w:rPr>
        <w:t>）</w:t>
      </w:r>
      <w:r>
        <w:t>针对本项目污染特点和建设状况，落实本环评提出的噪声、废气、废水污染防治措施，以确保污染物达标排放。</w:t>
      </w:r>
    </w:p>
    <w:p>
      <w:pPr>
        <w:ind w:firstLine="480"/>
      </w:pPr>
      <w:r>
        <w:rPr>
          <w:rFonts w:hint="eastAsia" w:ascii="宋体" w:hAnsi="宋体" w:cs="宋体"/>
        </w:rPr>
        <w:t>（</w:t>
      </w:r>
      <w:r>
        <w:t>3</w:t>
      </w:r>
      <w:r>
        <w:rPr>
          <w:rFonts w:hint="eastAsia" w:ascii="宋体" w:hAnsi="宋体" w:cs="宋体"/>
        </w:rPr>
        <w:t>）</w:t>
      </w:r>
      <w:r>
        <w:t>加强对员工的环保意识教育，积极宣传环保方针、政策、法规和典型事例，传播环境科学知识，提高环境意识，杜绝环境污染事故。</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b/>
          <w:bCs/>
          <w:sz w:val="21"/>
          <w:szCs w:val="21"/>
          <w:lang w:eastAsia="zh-CN"/>
        </w:rPr>
      </w:pPr>
      <w:r>
        <w:rPr>
          <w:rFonts w:hint="eastAsia"/>
        </w:rPr>
        <w:t>（4）</w:t>
      </w:r>
      <w:r>
        <w:t>严格执行项目现有生产工艺及生产规模，今后一旦发生变化应另行办理环保报建手续。</w:t>
      </w:r>
    </w:p>
    <w:p>
      <w:pPr>
        <w:ind w:left="0" w:leftChars="0" w:firstLine="0" w:firstLineChars="0"/>
        <w:rPr>
          <w:rFonts w:hint="default"/>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bidi w:val="0"/>
        <w:spacing w:line="240" w:lineRule="auto"/>
        <w:outlineLvl w:val="0"/>
        <w:rPr>
          <w:rFonts w:hint="default"/>
          <w:b/>
          <w:bCs/>
          <w:lang w:eastAsia="zh-CN"/>
        </w:rPr>
      </w:pPr>
      <w:bookmarkStart w:id="379" w:name="_Toc22365"/>
      <w:bookmarkStart w:id="380" w:name="_Toc31076"/>
      <w:bookmarkStart w:id="381" w:name="_Toc16200"/>
      <w:r>
        <w:rPr>
          <w:rFonts w:hint="default"/>
          <w:b/>
          <w:bCs/>
          <w:lang w:eastAsia="zh-CN"/>
        </w:rPr>
        <w:t>附件1：建设项目竣工环境保护“三同时”验收登记表</w:t>
      </w:r>
      <w:bookmarkEnd w:id="379"/>
      <w:bookmarkEnd w:id="380"/>
      <w:bookmarkEnd w:id="381"/>
    </w:p>
    <w:p>
      <w:pPr>
        <w:spacing w:after="0" w:line="300" w:lineRule="exact"/>
        <w:jc w:val="center"/>
        <w:rPr>
          <w:rFonts w:eastAsia="黑体"/>
          <w:b/>
          <w:color w:val="000000"/>
          <w:sz w:val="21"/>
          <w:szCs w:val="21"/>
        </w:rPr>
      </w:pPr>
      <w:r>
        <w:rPr>
          <w:rFonts w:eastAsia="黑体"/>
          <w:b/>
          <w:color w:val="000000"/>
          <w:sz w:val="21"/>
          <w:szCs w:val="21"/>
        </w:rPr>
        <w:t>建设项目竣工环境保护</w:t>
      </w:r>
      <w:r>
        <w:rPr>
          <w:rFonts w:hint="eastAsia" w:eastAsia="黑体"/>
          <w:b/>
          <w:color w:val="000000"/>
          <w:sz w:val="21"/>
          <w:szCs w:val="21"/>
        </w:rPr>
        <w:t>“</w:t>
      </w:r>
      <w:r>
        <w:rPr>
          <w:rFonts w:eastAsia="黑体"/>
          <w:b/>
          <w:color w:val="000000"/>
          <w:sz w:val="21"/>
          <w:szCs w:val="21"/>
        </w:rPr>
        <w:t>三同时</w:t>
      </w:r>
      <w:r>
        <w:rPr>
          <w:rFonts w:hint="eastAsia" w:eastAsia="黑体"/>
          <w:b/>
          <w:color w:val="000000"/>
          <w:sz w:val="21"/>
          <w:szCs w:val="21"/>
        </w:rPr>
        <w:t>”</w:t>
      </w:r>
      <w:r>
        <w:rPr>
          <w:rFonts w:eastAsia="黑体"/>
          <w:b/>
          <w:color w:val="000000"/>
          <w:sz w:val="21"/>
          <w:szCs w:val="21"/>
        </w:rPr>
        <w:t>验收登记表</w:t>
      </w:r>
    </w:p>
    <w:p>
      <w:pPr>
        <w:spacing w:after="0" w:line="240" w:lineRule="auto"/>
        <w:rPr>
          <w:rFonts w:ascii="宋体" w:hAnsi="宋体" w:eastAsia="宋体"/>
          <w:b/>
          <w:color w:val="000000"/>
          <w:sz w:val="21"/>
          <w:szCs w:val="21"/>
        </w:rPr>
      </w:pPr>
      <w:r>
        <w:rPr>
          <w:rFonts w:ascii="宋体" w:hAnsi="宋体" w:eastAsia="宋体"/>
          <w:b/>
          <w:color w:val="000000"/>
          <w:sz w:val="21"/>
          <w:szCs w:val="21"/>
        </w:rPr>
        <w:t>填表单位（盖章）</w:t>
      </w:r>
      <w:r>
        <w:rPr>
          <w:rFonts w:ascii="宋体" w:hAnsi="宋体" w:eastAsia="宋体"/>
          <w:b/>
          <w:color w:val="000000"/>
          <w:kern w:val="2"/>
          <w:sz w:val="21"/>
          <w:szCs w:val="21"/>
        </w:rPr>
        <w:t>：</w:t>
      </w:r>
      <w:r>
        <w:rPr>
          <w:rFonts w:hint="eastAsia" w:ascii="宋体" w:hAnsi="宋体"/>
          <w:b/>
          <w:color w:val="000000"/>
          <w:kern w:val="2"/>
          <w:sz w:val="21"/>
          <w:szCs w:val="21"/>
          <w:lang w:eastAsia="zh-CN"/>
        </w:rPr>
        <w:t>上海电气风电广东</w:t>
      </w:r>
      <w:r>
        <w:rPr>
          <w:rFonts w:hint="eastAsia" w:ascii="宋体" w:hAnsi="宋体" w:eastAsia="宋体"/>
          <w:b/>
          <w:color w:val="000000"/>
          <w:kern w:val="2"/>
          <w:sz w:val="21"/>
          <w:szCs w:val="21"/>
        </w:rPr>
        <w:t>有限公司</w:t>
      </w:r>
      <w:r>
        <w:rPr>
          <w:rFonts w:ascii="宋体" w:hAnsi="宋体" w:eastAsia="宋体"/>
          <w:b/>
          <w:color w:val="000000"/>
          <w:sz w:val="21"/>
          <w:szCs w:val="21"/>
        </w:rPr>
        <w:t xml:space="preserve">          填表人（签字）：                          项目经办人（签字）：</w:t>
      </w:r>
    </w:p>
    <w:tbl>
      <w:tblPr>
        <w:tblStyle w:val="12"/>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212"/>
        <w:gridCol w:w="567"/>
        <w:gridCol w:w="845"/>
        <w:gridCol w:w="1379"/>
        <w:gridCol w:w="1097"/>
        <w:gridCol w:w="493"/>
        <w:gridCol w:w="420"/>
        <w:gridCol w:w="591"/>
        <w:gridCol w:w="399"/>
        <w:gridCol w:w="980"/>
        <w:gridCol w:w="346"/>
        <w:gridCol w:w="1189"/>
        <w:gridCol w:w="1517"/>
        <w:gridCol w:w="766"/>
        <w:gridCol w:w="337"/>
        <w:gridCol w:w="557"/>
        <w:gridCol w:w="687"/>
        <w:gridCol w:w="1102"/>
        <w:gridCol w:w="794"/>
        <w:tblGridChange w:id="0">
          <w:tblGrid>
            <w:gridCol w:w="51"/>
            <w:gridCol w:w="430"/>
            <w:gridCol w:w="117"/>
            <w:gridCol w:w="51"/>
            <w:gridCol w:w="1161"/>
            <w:gridCol w:w="51"/>
            <w:gridCol w:w="516"/>
            <w:gridCol w:w="51"/>
            <w:gridCol w:w="794"/>
            <w:gridCol w:w="51"/>
            <w:gridCol w:w="1328"/>
            <w:gridCol w:w="51"/>
            <w:gridCol w:w="1046"/>
            <w:gridCol w:w="51"/>
            <w:gridCol w:w="493"/>
            <w:gridCol w:w="420"/>
            <w:gridCol w:w="109"/>
            <w:gridCol w:w="482"/>
            <w:gridCol w:w="399"/>
            <w:gridCol w:w="138"/>
            <w:gridCol w:w="842"/>
            <w:gridCol w:w="295"/>
            <w:gridCol w:w="51"/>
            <w:gridCol w:w="1138"/>
            <w:gridCol w:w="51"/>
            <w:gridCol w:w="1466"/>
            <w:gridCol w:w="51"/>
            <w:gridCol w:w="766"/>
            <w:gridCol w:w="286"/>
            <w:gridCol w:w="51"/>
            <w:gridCol w:w="557"/>
            <w:gridCol w:w="636"/>
            <w:gridCol w:w="51"/>
            <w:gridCol w:w="1051"/>
            <w:gridCol w:w="51"/>
            <w:gridCol w:w="743"/>
            <w:gridCol w:w="51"/>
          </w:tblGrid>
        </w:tblGridChange>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430" w:type="dxa"/>
            <w:vMerge w:val="restart"/>
            <w:noWrap w:val="0"/>
            <w:tcMar>
              <w:left w:w="57" w:type="dxa"/>
              <w:right w:w="57" w:type="dxa"/>
            </w:tcMar>
            <w:textDirection w:val="tbRlV"/>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建设项目</w:t>
            </w:r>
          </w:p>
        </w:tc>
        <w:tc>
          <w:tcPr>
            <w:tcW w:w="1947"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项目名称</w:t>
            </w:r>
          </w:p>
        </w:tc>
        <w:tc>
          <w:tcPr>
            <w:tcW w:w="3814" w:type="dxa"/>
            <w:gridSpan w:val="4"/>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eastAsia" w:ascii="Times New Roman" w:hAnsi="Times New Roman" w:cs="Times New Roman" w:eastAsiaTheme="minorEastAsia"/>
                <w:color w:val="000000"/>
                <w:kern w:val="2"/>
                <w:sz w:val="18"/>
                <w:szCs w:val="18"/>
                <w:lang w:eastAsia="zh-CN"/>
              </w:rPr>
            </w:pPr>
            <w:r>
              <w:rPr>
                <w:rFonts w:hint="eastAsia" w:cs="Times New Roman" w:eastAsiaTheme="minorEastAsia"/>
                <w:color w:val="000000"/>
                <w:kern w:val="2"/>
                <w:sz w:val="18"/>
                <w:szCs w:val="18"/>
                <w:lang w:eastAsia="zh-CN"/>
              </w:rPr>
              <w:t>海上风电智能制造项目</w:t>
            </w:r>
          </w:p>
        </w:tc>
        <w:tc>
          <w:tcPr>
            <w:tcW w:w="1410"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项目代码</w:t>
            </w:r>
          </w:p>
        </w:tc>
        <w:tc>
          <w:tcPr>
            <w:tcW w:w="980"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lang w:val="en-US" w:eastAsia="zh-CN"/>
              </w:rPr>
            </w:pPr>
            <w:r>
              <w:rPr>
                <w:rFonts w:hint="eastAsia" w:cs="Times New Roman" w:eastAsiaTheme="minorEastAsia"/>
                <w:color w:val="000000"/>
                <w:kern w:val="2"/>
                <w:sz w:val="15"/>
                <w:szCs w:val="15"/>
                <w:lang w:val="en-US" w:eastAsia="zh-CN"/>
              </w:rPr>
              <w:t>2018-440512-34-03-003046</w:t>
            </w:r>
          </w:p>
        </w:tc>
        <w:tc>
          <w:tcPr>
            <w:tcW w:w="1535"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color w:val="000000"/>
                <w:kern w:val="2"/>
                <w:sz w:val="15"/>
                <w:szCs w:val="15"/>
              </w:rPr>
              <w:t>建设地点</w:t>
            </w:r>
          </w:p>
        </w:tc>
        <w:tc>
          <w:tcPr>
            <w:tcW w:w="5760" w:type="dxa"/>
            <w:gridSpan w:val="7"/>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eastAsia" w:ascii="Times New Roman" w:hAnsi="Times New Roman" w:cs="Times New Roman" w:eastAsiaTheme="minorEastAsia"/>
                <w:color w:val="000000"/>
                <w:kern w:val="2"/>
                <w:sz w:val="15"/>
                <w:szCs w:val="15"/>
                <w:lang w:eastAsia="zh-CN"/>
              </w:rPr>
            </w:pPr>
            <w:r>
              <w:rPr>
                <w:rFonts w:hint="eastAsia" w:cs="Times New Roman" w:eastAsiaTheme="minorEastAsia"/>
                <w:color w:val="000000"/>
                <w:kern w:val="2"/>
                <w:sz w:val="18"/>
                <w:szCs w:val="18"/>
                <w:lang w:eastAsia="zh-CN"/>
              </w:rPr>
              <w:t>汕头市濠江区广澳街道广澳物流园片区B01地块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947"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color w:val="000000"/>
                <w:kern w:val="2"/>
                <w:sz w:val="15"/>
                <w:szCs w:val="15"/>
              </w:rPr>
              <w:t>行业类别（分类管理名录）</w:t>
            </w:r>
          </w:p>
        </w:tc>
        <w:tc>
          <w:tcPr>
            <w:tcW w:w="3814" w:type="dxa"/>
            <w:gridSpan w:val="4"/>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lang w:val="en-US" w:eastAsia="zh-CN"/>
              </w:rPr>
            </w:pPr>
            <w:r>
              <w:rPr>
                <w:rFonts w:hint="eastAsia" w:cs="Times New Roman" w:eastAsiaTheme="minorEastAsia"/>
                <w:color w:val="000000"/>
                <w:kern w:val="2"/>
                <w:sz w:val="18"/>
                <w:szCs w:val="18"/>
                <w:lang w:val="en-US" w:eastAsia="zh-CN"/>
              </w:rPr>
              <w:t>69.通用设备制造及维修</w:t>
            </w:r>
          </w:p>
        </w:tc>
        <w:tc>
          <w:tcPr>
            <w:tcW w:w="1410"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建设性质</w:t>
            </w:r>
          </w:p>
        </w:tc>
        <w:tc>
          <w:tcPr>
            <w:tcW w:w="2515"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eastAsia" w:cs="Times New Roman" w:eastAsiaTheme="minorEastAsia"/>
                <w:b/>
                <w:color w:val="000000"/>
                <w:kern w:val="2"/>
                <w:sz w:val="15"/>
                <w:szCs w:val="15"/>
                <w:lang w:eastAsia="zh-CN"/>
              </w:rPr>
              <w:t>☑</w:t>
            </w:r>
            <w:r>
              <w:rPr>
                <w:rFonts w:hint="default" w:ascii="Times New Roman" w:hAnsi="Times New Roman" w:cs="Times New Roman" w:eastAsiaTheme="minorEastAsia"/>
                <w:b/>
                <w:color w:val="000000"/>
                <w:kern w:val="2"/>
                <w:sz w:val="15"/>
                <w:szCs w:val="15"/>
              </w:rPr>
              <w:t xml:space="preserve"> 新建  □改扩建  □技术改造</w:t>
            </w:r>
          </w:p>
        </w:tc>
        <w:tc>
          <w:tcPr>
            <w:tcW w:w="228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项目厂区中心经度/纬度</w:t>
            </w:r>
          </w:p>
        </w:tc>
        <w:tc>
          <w:tcPr>
            <w:tcW w:w="3477" w:type="dxa"/>
            <w:gridSpan w:val="5"/>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color w:val="000000"/>
                <w:kern w:val="2"/>
                <w:sz w:val="18"/>
                <w:szCs w:val="18"/>
              </w:rPr>
              <w:t>东经</w:t>
            </w:r>
            <w:r>
              <w:rPr>
                <w:rFonts w:hint="eastAsia" w:ascii="Times New Roman" w:hAnsi="Times New Roman" w:cs="Times New Roman" w:eastAsiaTheme="minorEastAsia"/>
                <w:color w:val="000000"/>
                <w:kern w:val="2"/>
                <w:sz w:val="18"/>
                <w:szCs w:val="18"/>
              </w:rPr>
              <w:t>116°</w:t>
            </w:r>
            <w:r>
              <w:rPr>
                <w:rFonts w:hint="eastAsia" w:ascii="Times New Roman" w:hAnsi="Times New Roman" w:cs="Times New Roman" w:eastAsiaTheme="minorEastAsia"/>
                <w:color w:val="000000"/>
                <w:kern w:val="2"/>
                <w:sz w:val="18"/>
                <w:szCs w:val="18"/>
                <w:lang w:val="en-US" w:eastAsia="zh-CN"/>
              </w:rPr>
              <w:t>45</w:t>
            </w:r>
            <w:r>
              <w:rPr>
                <w:rFonts w:hint="eastAsia" w:ascii="Times New Roman" w:hAnsi="Times New Roman" w:cs="Times New Roman" w:eastAsiaTheme="minorEastAsia"/>
                <w:color w:val="000000"/>
                <w:kern w:val="2"/>
                <w:sz w:val="18"/>
                <w:szCs w:val="18"/>
              </w:rPr>
              <w:t>'</w:t>
            </w:r>
            <w:r>
              <w:rPr>
                <w:rFonts w:hint="eastAsia" w:ascii="Times New Roman" w:hAnsi="Times New Roman" w:cs="Times New Roman" w:eastAsiaTheme="minorEastAsia"/>
                <w:color w:val="000000"/>
                <w:kern w:val="2"/>
                <w:sz w:val="18"/>
                <w:szCs w:val="18"/>
                <w:lang w:val="en-US" w:eastAsia="zh-CN"/>
              </w:rPr>
              <w:t>13.86</w:t>
            </w:r>
            <w:r>
              <w:rPr>
                <w:rFonts w:hint="eastAsia" w:ascii="Times New Roman" w:hAnsi="Times New Roman" w:cs="Times New Roman" w:eastAsiaTheme="minorEastAsia"/>
                <w:color w:val="000000"/>
                <w:kern w:val="2"/>
                <w:sz w:val="18"/>
                <w:szCs w:val="18"/>
              </w:rPr>
              <w:t>"</w:t>
            </w:r>
            <w:r>
              <w:rPr>
                <w:rFonts w:hint="default" w:ascii="Times New Roman" w:hAnsi="Times New Roman" w:cs="Times New Roman" w:eastAsiaTheme="minorEastAsia"/>
                <w:color w:val="000000"/>
                <w:kern w:val="2"/>
                <w:sz w:val="18"/>
                <w:szCs w:val="18"/>
              </w:rPr>
              <w:t>E北纬</w:t>
            </w:r>
            <w:r>
              <w:rPr>
                <w:rFonts w:hint="eastAsia" w:ascii="Times New Roman" w:hAnsi="Times New Roman" w:cs="Times New Roman" w:eastAsiaTheme="minorEastAsia"/>
                <w:color w:val="000000"/>
                <w:kern w:val="2"/>
                <w:sz w:val="18"/>
                <w:szCs w:val="18"/>
              </w:rPr>
              <w:t>23°</w:t>
            </w:r>
            <w:r>
              <w:rPr>
                <w:rFonts w:hint="eastAsia" w:ascii="Times New Roman" w:hAnsi="Times New Roman" w:cs="Times New Roman" w:eastAsiaTheme="minorEastAsia"/>
                <w:color w:val="000000"/>
                <w:kern w:val="2"/>
                <w:sz w:val="18"/>
                <w:szCs w:val="18"/>
                <w:lang w:val="en-US" w:eastAsia="zh-CN"/>
              </w:rPr>
              <w:t>15</w:t>
            </w:r>
            <w:r>
              <w:rPr>
                <w:rFonts w:hint="eastAsia" w:ascii="Times New Roman" w:hAnsi="Times New Roman" w:cs="Times New Roman" w:eastAsiaTheme="minorEastAsia"/>
                <w:color w:val="000000"/>
                <w:kern w:val="2"/>
                <w:sz w:val="18"/>
                <w:szCs w:val="18"/>
              </w:rPr>
              <w:t>'</w:t>
            </w:r>
            <w:r>
              <w:rPr>
                <w:rFonts w:hint="eastAsia" w:ascii="Times New Roman" w:hAnsi="Times New Roman" w:cs="Times New Roman" w:eastAsiaTheme="minorEastAsia"/>
                <w:color w:val="000000"/>
                <w:kern w:val="2"/>
                <w:sz w:val="18"/>
                <w:szCs w:val="18"/>
                <w:lang w:val="en-US" w:eastAsia="zh-CN"/>
              </w:rPr>
              <w:t>7.8</w:t>
            </w:r>
            <w:r>
              <w:rPr>
                <w:rFonts w:hint="eastAsia" w:ascii="Times New Roman" w:hAnsi="Times New Roman" w:cs="Times New Roman" w:eastAsiaTheme="minorEastAsia"/>
                <w:color w:val="000000"/>
                <w:kern w:val="2"/>
                <w:sz w:val="18"/>
                <w:szCs w:val="18"/>
              </w:rPr>
              <w:t>5"</w:t>
            </w:r>
            <w:r>
              <w:rPr>
                <w:rFonts w:hint="default" w:ascii="Times New Roman" w:hAnsi="Times New Roman" w:cs="Times New Roman" w:eastAsiaTheme="minorEastAsia"/>
                <w:color w:val="000000"/>
                <w:kern w:val="2"/>
                <w:sz w:val="18"/>
                <w:szCs w:val="18"/>
              </w:rPr>
              <w:t>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947"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color w:val="000000"/>
                <w:kern w:val="2"/>
                <w:sz w:val="15"/>
                <w:szCs w:val="15"/>
              </w:rPr>
              <w:t>设计生产能力</w:t>
            </w:r>
          </w:p>
        </w:tc>
        <w:tc>
          <w:tcPr>
            <w:tcW w:w="3814" w:type="dxa"/>
            <w:gridSpan w:val="4"/>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rPr>
            </w:pPr>
            <w:r>
              <w:rPr>
                <w:rFonts w:hint="eastAsia" w:ascii="Times New Roman" w:hAnsi="Times New Roman" w:cs="Times New Roman" w:eastAsiaTheme="minorEastAsia"/>
                <w:color w:val="000000"/>
                <w:kern w:val="2"/>
                <w:sz w:val="18"/>
                <w:szCs w:val="18"/>
                <w:lang w:val="en-US" w:eastAsia="zh-CN"/>
              </w:rPr>
              <w:t>180套4~10MW系列风力发电机组</w:t>
            </w:r>
          </w:p>
        </w:tc>
        <w:tc>
          <w:tcPr>
            <w:tcW w:w="1410"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kern w:val="2"/>
                <w:sz w:val="15"/>
                <w:szCs w:val="15"/>
              </w:rPr>
              <w:t>实际生产能力</w:t>
            </w:r>
          </w:p>
        </w:tc>
        <w:tc>
          <w:tcPr>
            <w:tcW w:w="4032" w:type="dxa"/>
            <w:gridSpan w:val="4"/>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8"/>
                <w:szCs w:val="18"/>
              </w:rPr>
            </w:pPr>
            <w:r>
              <w:rPr>
                <w:rFonts w:hint="eastAsia" w:ascii="Times New Roman" w:hAnsi="Times New Roman" w:cs="Times New Roman" w:eastAsiaTheme="minorEastAsia"/>
                <w:color w:val="000000"/>
                <w:kern w:val="2"/>
                <w:sz w:val="18"/>
                <w:szCs w:val="18"/>
                <w:lang w:val="en-US" w:eastAsia="zh-CN"/>
              </w:rPr>
              <w:t>180套4~10MW系列风力发电机组</w:t>
            </w:r>
          </w:p>
        </w:tc>
        <w:tc>
          <w:tcPr>
            <w:tcW w:w="1660"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color w:val="000000"/>
                <w:kern w:val="2"/>
                <w:sz w:val="15"/>
                <w:szCs w:val="15"/>
              </w:rPr>
              <w:t>环评单位</w:t>
            </w:r>
          </w:p>
        </w:tc>
        <w:tc>
          <w:tcPr>
            <w:tcW w:w="2583"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rPr>
            </w:pPr>
            <w:r>
              <w:rPr>
                <w:rFonts w:hint="eastAsia" w:cs="Times New Roman" w:eastAsiaTheme="minorEastAsia"/>
                <w:color w:val="000000"/>
                <w:kern w:val="2"/>
                <w:sz w:val="18"/>
                <w:szCs w:val="18"/>
                <w:lang w:eastAsia="zh-CN"/>
              </w:rPr>
              <w:t>广东志华环保科技</w:t>
            </w:r>
            <w:r>
              <w:rPr>
                <w:rFonts w:hint="default" w:ascii="Times New Roman" w:hAnsi="Times New Roman" w:cs="Times New Roman" w:eastAsiaTheme="minorEastAsia"/>
                <w:color w:val="000000"/>
                <w:kern w:val="2"/>
                <w:sz w:val="18"/>
                <w:szCs w:val="18"/>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947"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color w:val="000000"/>
                <w:kern w:val="2"/>
                <w:sz w:val="15"/>
                <w:szCs w:val="15"/>
              </w:rPr>
              <w:t>环评文件审批机关</w:t>
            </w:r>
          </w:p>
        </w:tc>
        <w:tc>
          <w:tcPr>
            <w:tcW w:w="3814" w:type="dxa"/>
            <w:gridSpan w:val="4"/>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rPr>
            </w:pPr>
            <w:r>
              <w:rPr>
                <w:rFonts w:hint="default" w:ascii="Times New Roman" w:hAnsi="Times New Roman" w:cs="Times New Roman" w:eastAsiaTheme="minorEastAsia"/>
                <w:color w:val="000000"/>
                <w:kern w:val="2"/>
                <w:sz w:val="18"/>
                <w:szCs w:val="18"/>
              </w:rPr>
              <w:t>汕头市</w:t>
            </w:r>
            <w:r>
              <w:rPr>
                <w:rFonts w:hint="eastAsia" w:cs="Times New Roman" w:eastAsiaTheme="minorEastAsia"/>
                <w:color w:val="000000"/>
                <w:kern w:val="2"/>
                <w:sz w:val="18"/>
                <w:szCs w:val="18"/>
                <w:lang w:eastAsia="zh-CN"/>
              </w:rPr>
              <w:t>濠江</w:t>
            </w:r>
            <w:r>
              <w:rPr>
                <w:rFonts w:hint="default" w:ascii="Times New Roman" w:hAnsi="Times New Roman" w:cs="Times New Roman" w:eastAsiaTheme="minorEastAsia"/>
                <w:color w:val="000000"/>
                <w:kern w:val="2"/>
                <w:sz w:val="18"/>
                <w:szCs w:val="18"/>
              </w:rPr>
              <w:t>区生态环境局</w:t>
            </w:r>
          </w:p>
        </w:tc>
        <w:tc>
          <w:tcPr>
            <w:tcW w:w="1410"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审批文号</w:t>
            </w:r>
          </w:p>
        </w:tc>
        <w:tc>
          <w:tcPr>
            <w:tcW w:w="4032" w:type="dxa"/>
            <w:gridSpan w:val="4"/>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eastAsia" w:ascii="Times New Roman" w:hAnsi="Times New Roman" w:cs="Times New Roman" w:eastAsiaTheme="minorEastAsia"/>
                <w:color w:val="000000"/>
                <w:kern w:val="2"/>
                <w:sz w:val="18"/>
                <w:szCs w:val="18"/>
                <w:lang w:eastAsia="zh-CN"/>
              </w:rPr>
            </w:pPr>
            <w:r>
              <w:rPr>
                <w:rFonts w:hint="eastAsia" w:cs="Times New Roman" w:eastAsiaTheme="minorEastAsia"/>
                <w:color w:val="000000"/>
                <w:kern w:val="2"/>
                <w:sz w:val="18"/>
                <w:szCs w:val="18"/>
                <w:lang w:eastAsia="zh-CN"/>
              </w:rPr>
              <w:t>汕濠环建【2018】25号</w:t>
            </w:r>
          </w:p>
        </w:tc>
        <w:tc>
          <w:tcPr>
            <w:tcW w:w="1660"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环评文件类型</w:t>
            </w:r>
          </w:p>
        </w:tc>
        <w:tc>
          <w:tcPr>
            <w:tcW w:w="2583"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rPr>
            </w:pPr>
            <w:r>
              <w:rPr>
                <w:rFonts w:hint="default" w:ascii="Times New Roman" w:hAnsi="Times New Roman" w:cs="Times New Roman" w:eastAsiaTheme="minorEastAsia"/>
                <w:color w:val="000000"/>
                <w:kern w:val="2"/>
                <w:sz w:val="18"/>
                <w:szCs w:val="18"/>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947"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color w:val="000000"/>
                <w:kern w:val="2"/>
                <w:sz w:val="15"/>
                <w:szCs w:val="15"/>
              </w:rPr>
              <w:t>开工日期</w:t>
            </w:r>
          </w:p>
        </w:tc>
        <w:tc>
          <w:tcPr>
            <w:tcW w:w="5224" w:type="dxa"/>
            <w:gridSpan w:val="7"/>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8"/>
                <w:szCs w:val="18"/>
                <w:lang w:val="en-US" w:eastAsia="zh-CN"/>
              </w:rPr>
            </w:pPr>
            <w:r>
              <w:rPr>
                <w:rFonts w:hint="eastAsia" w:cs="Times New Roman" w:eastAsiaTheme="minorEastAsia"/>
                <w:color w:val="000000"/>
                <w:kern w:val="2"/>
                <w:sz w:val="18"/>
                <w:szCs w:val="18"/>
                <w:lang w:val="en-US" w:eastAsia="zh-CN"/>
              </w:rPr>
              <w:t>2018年3月</w:t>
            </w:r>
          </w:p>
        </w:tc>
        <w:tc>
          <w:tcPr>
            <w:tcW w:w="2515"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竣工日期</w:t>
            </w:r>
          </w:p>
        </w:tc>
        <w:tc>
          <w:tcPr>
            <w:tcW w:w="151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color w:val="000000"/>
                <w:kern w:val="2"/>
                <w:sz w:val="18"/>
                <w:szCs w:val="18"/>
              </w:rPr>
              <w:t>20</w:t>
            </w:r>
            <w:r>
              <w:rPr>
                <w:rFonts w:hint="eastAsia" w:cs="Times New Roman" w:eastAsiaTheme="minorEastAsia"/>
                <w:color w:val="000000"/>
                <w:kern w:val="2"/>
                <w:sz w:val="18"/>
                <w:szCs w:val="18"/>
                <w:lang w:val="en-US" w:eastAsia="zh-CN"/>
              </w:rPr>
              <w:t>20</w:t>
            </w:r>
            <w:r>
              <w:rPr>
                <w:rFonts w:hint="default" w:ascii="Times New Roman" w:hAnsi="Times New Roman" w:cs="Times New Roman" w:eastAsiaTheme="minorEastAsia"/>
                <w:color w:val="000000"/>
                <w:kern w:val="2"/>
                <w:sz w:val="18"/>
                <w:szCs w:val="18"/>
              </w:rPr>
              <w:t>年</w:t>
            </w:r>
            <w:r>
              <w:rPr>
                <w:rFonts w:hint="eastAsia" w:cs="Times New Roman" w:eastAsiaTheme="minorEastAsia"/>
                <w:color w:val="000000"/>
                <w:kern w:val="2"/>
                <w:sz w:val="18"/>
                <w:szCs w:val="18"/>
                <w:lang w:val="en-US" w:eastAsia="zh-CN"/>
              </w:rPr>
              <w:t>3</w:t>
            </w:r>
            <w:r>
              <w:rPr>
                <w:rFonts w:hint="default" w:ascii="Times New Roman" w:hAnsi="Times New Roman" w:cs="Times New Roman" w:eastAsiaTheme="minorEastAsia"/>
                <w:color w:val="000000"/>
                <w:kern w:val="2"/>
                <w:sz w:val="18"/>
                <w:szCs w:val="18"/>
              </w:rPr>
              <w:t>月</w:t>
            </w:r>
          </w:p>
        </w:tc>
        <w:tc>
          <w:tcPr>
            <w:tcW w:w="1660"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排污许可证申领时间</w:t>
            </w:r>
          </w:p>
        </w:tc>
        <w:tc>
          <w:tcPr>
            <w:tcW w:w="2583"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rPr>
            </w:pPr>
            <w:r>
              <w:rPr>
                <w:rFonts w:hint="default" w:ascii="Times New Roman" w:hAnsi="Times New Roman" w:cs="Times New Roman" w:eastAsiaTheme="minorEastAsia"/>
                <w:color w:val="000000"/>
                <w:kern w:val="2"/>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947"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color w:val="000000"/>
                <w:kern w:val="2"/>
                <w:sz w:val="15"/>
                <w:szCs w:val="15"/>
              </w:rPr>
              <w:t>环保设施设计单位</w:t>
            </w:r>
          </w:p>
        </w:tc>
        <w:tc>
          <w:tcPr>
            <w:tcW w:w="3814" w:type="dxa"/>
            <w:gridSpan w:val="4"/>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b/>
                <w:color w:val="000000"/>
                <w:sz w:val="18"/>
                <w:szCs w:val="18"/>
              </w:rPr>
            </w:pPr>
          </w:p>
        </w:tc>
        <w:tc>
          <w:tcPr>
            <w:tcW w:w="1410"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sz w:val="15"/>
                <w:szCs w:val="15"/>
              </w:rPr>
            </w:pPr>
            <w:r>
              <w:rPr>
                <w:rFonts w:hint="default" w:ascii="Times New Roman" w:hAnsi="Times New Roman" w:cs="Times New Roman" w:eastAsiaTheme="minorEastAsia"/>
                <w:b/>
                <w:color w:val="000000"/>
                <w:sz w:val="15"/>
                <w:szCs w:val="15"/>
              </w:rPr>
              <w:t>环保设施施工单位</w:t>
            </w:r>
          </w:p>
        </w:tc>
        <w:tc>
          <w:tcPr>
            <w:tcW w:w="4032" w:type="dxa"/>
            <w:gridSpan w:val="4"/>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8"/>
                <w:szCs w:val="18"/>
              </w:rPr>
            </w:pPr>
          </w:p>
        </w:tc>
        <w:tc>
          <w:tcPr>
            <w:tcW w:w="1660"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本工程排污许可证编号</w:t>
            </w:r>
          </w:p>
        </w:tc>
        <w:tc>
          <w:tcPr>
            <w:tcW w:w="2583"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rPr>
            </w:pPr>
            <w:r>
              <w:rPr>
                <w:rFonts w:hint="default" w:ascii="Times New Roman" w:hAnsi="Times New Roman" w:cs="Times New Roman" w:eastAsiaTheme="minorEastAsia"/>
                <w:color w:val="000000"/>
                <w:kern w:val="2"/>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947"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color w:val="000000"/>
                <w:kern w:val="2"/>
                <w:sz w:val="15"/>
                <w:szCs w:val="15"/>
              </w:rPr>
              <w:t>验收单位</w:t>
            </w:r>
          </w:p>
        </w:tc>
        <w:tc>
          <w:tcPr>
            <w:tcW w:w="3814" w:type="dxa"/>
            <w:gridSpan w:val="4"/>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8"/>
                <w:szCs w:val="18"/>
              </w:rPr>
            </w:pPr>
            <w:r>
              <w:rPr>
                <w:rFonts w:hint="eastAsia" w:cs="Times New Roman" w:eastAsiaTheme="minorEastAsia"/>
                <w:color w:val="000000"/>
                <w:kern w:val="2"/>
                <w:sz w:val="18"/>
                <w:szCs w:val="18"/>
                <w:lang w:eastAsia="zh-CN"/>
              </w:rPr>
              <w:t>上海电气风电广东</w:t>
            </w:r>
            <w:r>
              <w:rPr>
                <w:rFonts w:hint="default" w:ascii="Times New Roman" w:hAnsi="Times New Roman" w:cs="Times New Roman" w:eastAsiaTheme="minorEastAsia"/>
                <w:color w:val="000000"/>
                <w:kern w:val="2"/>
                <w:sz w:val="18"/>
                <w:szCs w:val="18"/>
              </w:rPr>
              <w:t>有限公司</w:t>
            </w:r>
          </w:p>
        </w:tc>
        <w:tc>
          <w:tcPr>
            <w:tcW w:w="1410"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环保设施监测单位</w:t>
            </w:r>
          </w:p>
        </w:tc>
        <w:tc>
          <w:tcPr>
            <w:tcW w:w="4032" w:type="dxa"/>
            <w:gridSpan w:val="4"/>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rPr>
            </w:pPr>
            <w:r>
              <w:rPr>
                <w:rFonts w:hint="eastAsia"/>
                <w:color w:val="auto"/>
                <w:sz w:val="18"/>
                <w:szCs w:val="18"/>
                <w:lang w:eastAsia="zh-CN"/>
              </w:rPr>
              <w:t>广东精正检测有限公司</w:t>
            </w:r>
          </w:p>
        </w:tc>
        <w:tc>
          <w:tcPr>
            <w:tcW w:w="1660"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验收监测时工况</w:t>
            </w:r>
          </w:p>
        </w:tc>
        <w:tc>
          <w:tcPr>
            <w:tcW w:w="2583"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rPr>
            </w:pPr>
            <w:r>
              <w:rPr>
                <w:rFonts w:hint="default" w:ascii="Times New Roman" w:hAnsi="Times New Roman" w:cs="Times New Roman" w:eastAsiaTheme="minorEastAsia"/>
                <w:color w:val="000000"/>
                <w:kern w:val="2"/>
                <w:sz w:val="18"/>
                <w:szCs w:val="18"/>
              </w:rPr>
              <w:t>工况稳定，环保设施正常运行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947"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color w:val="000000"/>
                <w:kern w:val="2"/>
                <w:sz w:val="15"/>
                <w:szCs w:val="15"/>
              </w:rPr>
              <w:t>投资总概算（万元）</w:t>
            </w:r>
          </w:p>
        </w:tc>
        <w:tc>
          <w:tcPr>
            <w:tcW w:w="5224" w:type="dxa"/>
            <w:gridSpan w:val="7"/>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lang w:val="en-US" w:eastAsia="zh-CN"/>
              </w:rPr>
            </w:pPr>
            <w:r>
              <w:rPr>
                <w:rFonts w:hint="eastAsia" w:cs="Times New Roman" w:eastAsiaTheme="minorEastAsia"/>
                <w:color w:val="000000"/>
                <w:kern w:val="2"/>
                <w:sz w:val="18"/>
                <w:szCs w:val="18"/>
                <w:lang w:val="en-US" w:eastAsia="zh-CN"/>
              </w:rPr>
              <w:t>50461</w:t>
            </w:r>
          </w:p>
        </w:tc>
        <w:tc>
          <w:tcPr>
            <w:tcW w:w="2515" w:type="dxa"/>
            <w:gridSpan w:val="3"/>
            <w:noWrap w:val="0"/>
            <w:tcMar>
              <w:left w:w="57" w:type="dxa"/>
              <w:right w:w="57" w:type="dxa"/>
            </w:tcMar>
            <w:vAlign w:val="center"/>
          </w:tcPr>
          <w:p>
            <w:pPr>
              <w:keepNext w:val="0"/>
              <w:keepLines w:val="0"/>
              <w:pageBreakBefore w:val="0"/>
              <w:widowControl w:val="0"/>
              <w:tabs>
                <w:tab w:val="left" w:pos="690"/>
              </w:tabs>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color w:val="000000"/>
                <w:kern w:val="2"/>
                <w:sz w:val="15"/>
                <w:szCs w:val="15"/>
              </w:rPr>
              <w:t>环保投资总概算（万元）</w:t>
            </w:r>
          </w:p>
        </w:tc>
        <w:tc>
          <w:tcPr>
            <w:tcW w:w="151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lang w:val="en-US" w:eastAsia="zh-CN"/>
              </w:rPr>
            </w:pPr>
            <w:r>
              <w:rPr>
                <w:rFonts w:hint="eastAsia" w:cs="Times New Roman" w:eastAsiaTheme="minorEastAsia"/>
                <w:color w:val="000000"/>
                <w:kern w:val="2"/>
                <w:sz w:val="18"/>
                <w:szCs w:val="18"/>
                <w:lang w:val="en-US" w:eastAsia="zh-CN"/>
              </w:rPr>
              <w:t>65</w:t>
            </w:r>
          </w:p>
        </w:tc>
        <w:tc>
          <w:tcPr>
            <w:tcW w:w="1660" w:type="dxa"/>
            <w:gridSpan w:val="3"/>
            <w:noWrap w:val="0"/>
            <w:tcMar>
              <w:left w:w="57" w:type="dxa"/>
              <w:right w:w="57" w:type="dxa"/>
            </w:tcMar>
            <w:vAlign w:val="center"/>
          </w:tcPr>
          <w:p>
            <w:pPr>
              <w:keepNext w:val="0"/>
              <w:keepLines w:val="0"/>
              <w:pageBreakBefore w:val="0"/>
              <w:widowControl w:val="0"/>
              <w:tabs>
                <w:tab w:val="left" w:pos="690"/>
              </w:tabs>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color w:val="000000"/>
                <w:kern w:val="2"/>
                <w:sz w:val="15"/>
                <w:szCs w:val="15"/>
              </w:rPr>
              <w:t>所占比例（%）</w:t>
            </w:r>
          </w:p>
        </w:tc>
        <w:tc>
          <w:tcPr>
            <w:tcW w:w="2583" w:type="dxa"/>
            <w:gridSpan w:val="3"/>
            <w:noWrap w:val="0"/>
            <w:tcMar>
              <w:left w:w="57" w:type="dxa"/>
              <w:right w:w="57" w:type="dxa"/>
            </w:tcMar>
            <w:vAlign w:val="center"/>
          </w:tcPr>
          <w:p>
            <w:pPr>
              <w:keepNext w:val="0"/>
              <w:keepLines w:val="0"/>
              <w:pageBreakBefore w:val="0"/>
              <w:widowControl w:val="0"/>
              <w:tabs>
                <w:tab w:val="left" w:pos="690"/>
              </w:tabs>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lang w:val="en-US" w:eastAsia="zh-CN"/>
              </w:rPr>
            </w:pPr>
            <w:r>
              <w:rPr>
                <w:rFonts w:hint="eastAsia" w:cs="Times New Roman" w:eastAsiaTheme="minorEastAsia"/>
                <w:color w:val="000000"/>
                <w:kern w:val="2"/>
                <w:sz w:val="18"/>
                <w:szCs w:val="18"/>
                <w:lang w:val="en-US" w:eastAsia="zh-CN"/>
              </w:rPr>
              <w:t>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947"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color w:val="000000"/>
                <w:kern w:val="2"/>
                <w:sz w:val="15"/>
                <w:szCs w:val="15"/>
              </w:rPr>
              <w:t>实际总投资（万元）</w:t>
            </w:r>
          </w:p>
        </w:tc>
        <w:tc>
          <w:tcPr>
            <w:tcW w:w="5224" w:type="dxa"/>
            <w:gridSpan w:val="7"/>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kern w:val="2"/>
                <w:sz w:val="18"/>
                <w:szCs w:val="18"/>
              </w:rPr>
            </w:pPr>
            <w:r>
              <w:rPr>
                <w:rFonts w:hint="eastAsia" w:cs="Times New Roman" w:eastAsiaTheme="minorEastAsia"/>
                <w:color w:val="000000"/>
                <w:kern w:val="2"/>
                <w:sz w:val="18"/>
                <w:szCs w:val="18"/>
                <w:lang w:val="en-US" w:eastAsia="zh-CN"/>
              </w:rPr>
              <w:t>50461</w:t>
            </w:r>
          </w:p>
        </w:tc>
        <w:tc>
          <w:tcPr>
            <w:tcW w:w="2515"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kern w:val="2"/>
                <w:sz w:val="15"/>
                <w:szCs w:val="15"/>
              </w:rPr>
            </w:pPr>
            <w:r>
              <w:rPr>
                <w:rFonts w:hint="default" w:ascii="Times New Roman" w:hAnsi="Times New Roman" w:cs="Times New Roman" w:eastAsiaTheme="minorEastAsia"/>
                <w:b/>
                <w:kern w:val="2"/>
                <w:sz w:val="15"/>
                <w:szCs w:val="15"/>
              </w:rPr>
              <w:t>实际环保投资（万元）</w:t>
            </w:r>
          </w:p>
        </w:tc>
        <w:tc>
          <w:tcPr>
            <w:tcW w:w="151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kern w:val="2"/>
                <w:sz w:val="18"/>
                <w:szCs w:val="18"/>
                <w:lang w:val="en-US" w:eastAsia="zh-CN"/>
              </w:rPr>
            </w:pPr>
            <w:r>
              <w:rPr>
                <w:rFonts w:hint="eastAsia" w:cs="Times New Roman" w:eastAsiaTheme="minorEastAsia"/>
                <w:kern w:val="2"/>
                <w:sz w:val="18"/>
                <w:szCs w:val="18"/>
                <w:lang w:val="en-US" w:eastAsia="zh-CN"/>
              </w:rPr>
              <w:t>65</w:t>
            </w:r>
          </w:p>
        </w:tc>
        <w:tc>
          <w:tcPr>
            <w:tcW w:w="1660"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kern w:val="2"/>
                <w:sz w:val="15"/>
                <w:szCs w:val="15"/>
              </w:rPr>
            </w:pPr>
            <w:r>
              <w:rPr>
                <w:rFonts w:hint="default" w:ascii="Times New Roman" w:hAnsi="Times New Roman" w:cs="Times New Roman" w:eastAsiaTheme="minorEastAsia"/>
                <w:b/>
                <w:kern w:val="2"/>
                <w:sz w:val="15"/>
                <w:szCs w:val="15"/>
              </w:rPr>
              <w:t>所占比例（%）</w:t>
            </w:r>
          </w:p>
        </w:tc>
        <w:tc>
          <w:tcPr>
            <w:tcW w:w="2583"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kern w:val="2"/>
                <w:sz w:val="18"/>
                <w:szCs w:val="18"/>
              </w:rPr>
            </w:pPr>
            <w:r>
              <w:rPr>
                <w:rFonts w:hint="eastAsia" w:cs="Times New Roman" w:eastAsiaTheme="minorEastAsia"/>
                <w:color w:val="000000"/>
                <w:kern w:val="2"/>
                <w:sz w:val="18"/>
                <w:szCs w:val="18"/>
                <w:lang w:val="en-US" w:eastAsia="zh-CN"/>
              </w:rPr>
              <w:t>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947"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color w:val="000000"/>
                <w:kern w:val="2"/>
                <w:sz w:val="15"/>
                <w:szCs w:val="15"/>
              </w:rPr>
              <w:t>废水治理（万元）</w:t>
            </w:r>
          </w:p>
        </w:tc>
        <w:tc>
          <w:tcPr>
            <w:tcW w:w="845"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eastAsia" w:ascii="Times New Roman" w:hAnsi="Times New Roman" w:cs="Times New Roman" w:eastAsiaTheme="minorEastAsia"/>
                <w:kern w:val="2"/>
                <w:sz w:val="15"/>
                <w:szCs w:val="15"/>
                <w:lang w:eastAsia="zh-CN"/>
              </w:rPr>
            </w:pPr>
            <w:r>
              <w:rPr>
                <w:rFonts w:hint="eastAsia" w:cs="Times New Roman" w:eastAsiaTheme="minorEastAsia"/>
                <w:kern w:val="2"/>
                <w:sz w:val="18"/>
                <w:szCs w:val="18"/>
                <w:lang w:val="en-US" w:eastAsia="zh-CN"/>
              </w:rPr>
              <w:t>8</w:t>
            </w:r>
          </w:p>
        </w:tc>
        <w:tc>
          <w:tcPr>
            <w:tcW w:w="137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kern w:val="2"/>
                <w:sz w:val="15"/>
                <w:szCs w:val="15"/>
              </w:rPr>
            </w:pPr>
            <w:r>
              <w:rPr>
                <w:rFonts w:hint="default" w:ascii="Times New Roman" w:hAnsi="Times New Roman" w:cs="Times New Roman" w:eastAsiaTheme="minorEastAsia"/>
                <w:b/>
                <w:kern w:val="2"/>
                <w:sz w:val="15"/>
                <w:szCs w:val="15"/>
              </w:rPr>
              <w:t>废气治理（万元）</w:t>
            </w:r>
          </w:p>
        </w:tc>
        <w:tc>
          <w:tcPr>
            <w:tcW w:w="109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kern w:val="2"/>
                <w:sz w:val="18"/>
                <w:szCs w:val="18"/>
                <w:lang w:val="en-US" w:eastAsia="zh-CN"/>
              </w:rPr>
            </w:pPr>
            <w:r>
              <w:rPr>
                <w:rFonts w:hint="eastAsia" w:cs="Times New Roman" w:eastAsiaTheme="minorEastAsia"/>
                <w:kern w:val="2"/>
                <w:sz w:val="18"/>
                <w:szCs w:val="18"/>
                <w:lang w:val="en-US" w:eastAsia="zh-CN"/>
              </w:rPr>
              <w:t>20</w:t>
            </w:r>
          </w:p>
        </w:tc>
        <w:tc>
          <w:tcPr>
            <w:tcW w:w="1504"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kern w:val="2"/>
                <w:sz w:val="15"/>
                <w:szCs w:val="15"/>
              </w:rPr>
            </w:pPr>
            <w:r>
              <w:rPr>
                <w:rFonts w:hint="default" w:ascii="Times New Roman" w:hAnsi="Times New Roman" w:cs="Times New Roman" w:eastAsiaTheme="minorEastAsia"/>
                <w:b/>
                <w:kern w:val="2"/>
                <w:sz w:val="15"/>
                <w:szCs w:val="15"/>
              </w:rPr>
              <w:t>噪声治理（万元）</w:t>
            </w:r>
          </w:p>
        </w:tc>
        <w:tc>
          <w:tcPr>
            <w:tcW w:w="39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kern w:val="2"/>
                <w:sz w:val="15"/>
                <w:szCs w:val="15"/>
                <w:lang w:val="en-US" w:eastAsia="zh-CN"/>
              </w:rPr>
            </w:pPr>
            <w:r>
              <w:rPr>
                <w:rFonts w:hint="eastAsia" w:cs="Times New Roman" w:eastAsiaTheme="minorEastAsia"/>
                <w:kern w:val="2"/>
                <w:sz w:val="18"/>
                <w:szCs w:val="18"/>
                <w:lang w:val="en-US" w:eastAsia="zh-CN"/>
              </w:rPr>
              <w:t>15</w:t>
            </w:r>
          </w:p>
        </w:tc>
        <w:tc>
          <w:tcPr>
            <w:tcW w:w="2515"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kern w:val="2"/>
                <w:sz w:val="15"/>
                <w:szCs w:val="15"/>
              </w:rPr>
            </w:pPr>
            <w:r>
              <w:rPr>
                <w:rFonts w:hint="default" w:ascii="Times New Roman" w:hAnsi="Times New Roman" w:cs="Times New Roman" w:eastAsiaTheme="minorEastAsia"/>
                <w:b/>
                <w:kern w:val="2"/>
                <w:sz w:val="15"/>
                <w:szCs w:val="15"/>
              </w:rPr>
              <w:t>固体废物治理（万元）</w:t>
            </w:r>
          </w:p>
        </w:tc>
        <w:tc>
          <w:tcPr>
            <w:tcW w:w="151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eastAsia" w:ascii="Times New Roman" w:hAnsi="Times New Roman" w:cs="Times New Roman" w:eastAsiaTheme="minorEastAsia"/>
                <w:kern w:val="2"/>
                <w:sz w:val="18"/>
                <w:szCs w:val="18"/>
                <w:lang w:eastAsia="zh-CN"/>
              </w:rPr>
            </w:pPr>
            <w:r>
              <w:rPr>
                <w:rFonts w:hint="eastAsia" w:cs="Times New Roman" w:eastAsiaTheme="minorEastAsia"/>
                <w:kern w:val="2"/>
                <w:sz w:val="18"/>
                <w:szCs w:val="18"/>
                <w:lang w:val="en-US" w:eastAsia="zh-CN"/>
              </w:rPr>
              <w:t>4</w:t>
            </w:r>
          </w:p>
        </w:tc>
        <w:tc>
          <w:tcPr>
            <w:tcW w:w="1660"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kern w:val="2"/>
                <w:sz w:val="15"/>
                <w:szCs w:val="15"/>
              </w:rPr>
            </w:pPr>
            <w:r>
              <w:rPr>
                <w:rFonts w:hint="default" w:ascii="Times New Roman" w:hAnsi="Times New Roman" w:cs="Times New Roman" w:eastAsiaTheme="minorEastAsia"/>
                <w:b/>
                <w:kern w:val="2"/>
                <w:sz w:val="15"/>
                <w:szCs w:val="15"/>
              </w:rPr>
              <w:t>绿化及生态（万元）</w:t>
            </w:r>
          </w:p>
        </w:tc>
        <w:tc>
          <w:tcPr>
            <w:tcW w:w="68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kern w:val="2"/>
                <w:sz w:val="15"/>
                <w:szCs w:val="15"/>
              </w:rPr>
            </w:pPr>
            <w:r>
              <w:rPr>
                <w:rFonts w:hint="default" w:ascii="Times New Roman" w:hAnsi="Times New Roman" w:cs="Times New Roman" w:eastAsiaTheme="minorEastAsia"/>
                <w:kern w:val="2"/>
                <w:sz w:val="15"/>
                <w:szCs w:val="15"/>
              </w:rPr>
              <w:t>--</w:t>
            </w:r>
          </w:p>
        </w:tc>
        <w:tc>
          <w:tcPr>
            <w:tcW w:w="1102"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kern w:val="2"/>
                <w:sz w:val="15"/>
                <w:szCs w:val="15"/>
              </w:rPr>
            </w:pPr>
            <w:r>
              <w:rPr>
                <w:rFonts w:hint="default" w:ascii="Times New Roman" w:hAnsi="Times New Roman" w:cs="Times New Roman" w:eastAsiaTheme="minorEastAsia"/>
                <w:b/>
                <w:kern w:val="2"/>
                <w:sz w:val="15"/>
                <w:szCs w:val="15"/>
              </w:rPr>
              <w:t>其他（万元）</w:t>
            </w:r>
          </w:p>
        </w:tc>
        <w:tc>
          <w:tcPr>
            <w:tcW w:w="794"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kern w:val="2"/>
                <w:sz w:val="18"/>
                <w:szCs w:val="18"/>
                <w:lang w:val="en-US" w:eastAsia="zh-CN"/>
              </w:rPr>
            </w:pPr>
            <w:r>
              <w:rPr>
                <w:rFonts w:hint="eastAsia" w:cs="Times New Roman" w:eastAsiaTheme="minorEastAsia"/>
                <w:kern w:val="2"/>
                <w:sz w:val="18"/>
                <w:szCs w:val="18"/>
                <w:lang w:val="en-US" w:eastAsia="zh-CN"/>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947"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color w:val="000000"/>
                <w:kern w:val="2"/>
                <w:sz w:val="15"/>
                <w:szCs w:val="15"/>
              </w:rPr>
              <w:t>新增废水处理设施能力</w:t>
            </w:r>
          </w:p>
        </w:tc>
        <w:tc>
          <w:tcPr>
            <w:tcW w:w="5224" w:type="dxa"/>
            <w:gridSpan w:val="7"/>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kern w:val="2"/>
                <w:sz w:val="15"/>
                <w:szCs w:val="15"/>
              </w:rPr>
            </w:pPr>
            <w:r>
              <w:rPr>
                <w:rFonts w:hint="default" w:ascii="Times New Roman" w:hAnsi="Times New Roman" w:cs="Times New Roman" w:eastAsiaTheme="minorEastAsia"/>
                <w:kern w:val="2"/>
                <w:sz w:val="15"/>
                <w:szCs w:val="15"/>
              </w:rPr>
              <w:t>——</w:t>
            </w:r>
          </w:p>
        </w:tc>
        <w:tc>
          <w:tcPr>
            <w:tcW w:w="2515"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kern w:val="2"/>
                <w:sz w:val="15"/>
                <w:szCs w:val="15"/>
              </w:rPr>
            </w:pPr>
            <w:r>
              <w:rPr>
                <w:rFonts w:hint="default" w:ascii="Times New Roman" w:hAnsi="Times New Roman" w:cs="Times New Roman" w:eastAsiaTheme="minorEastAsia"/>
                <w:b/>
                <w:kern w:val="2"/>
                <w:sz w:val="15"/>
                <w:szCs w:val="15"/>
              </w:rPr>
              <w:t>新增废气处理设施能力</w:t>
            </w:r>
          </w:p>
        </w:tc>
        <w:tc>
          <w:tcPr>
            <w:tcW w:w="151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kern w:val="2"/>
                <w:sz w:val="18"/>
                <w:szCs w:val="18"/>
              </w:rPr>
            </w:pPr>
            <w:r>
              <w:rPr>
                <w:rFonts w:hint="default" w:ascii="Times New Roman" w:hAnsi="Times New Roman" w:cs="Times New Roman" w:eastAsiaTheme="minorEastAsia"/>
                <w:kern w:val="2"/>
                <w:sz w:val="18"/>
                <w:szCs w:val="18"/>
              </w:rPr>
              <w:t>——</w:t>
            </w:r>
          </w:p>
        </w:tc>
        <w:tc>
          <w:tcPr>
            <w:tcW w:w="1660"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kern w:val="2"/>
                <w:sz w:val="15"/>
                <w:szCs w:val="15"/>
              </w:rPr>
            </w:pPr>
            <w:r>
              <w:rPr>
                <w:rFonts w:hint="default" w:ascii="Times New Roman" w:hAnsi="Times New Roman" w:cs="Times New Roman" w:eastAsiaTheme="minorEastAsia"/>
                <w:b/>
                <w:kern w:val="2"/>
                <w:sz w:val="15"/>
                <w:szCs w:val="15"/>
              </w:rPr>
              <w:t>年平均工作时</w:t>
            </w:r>
          </w:p>
        </w:tc>
        <w:tc>
          <w:tcPr>
            <w:tcW w:w="2583"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kern w:val="2"/>
                <w:sz w:val="18"/>
                <w:szCs w:val="18"/>
                <w:lang w:val="en-US" w:eastAsia="zh-CN"/>
              </w:rPr>
            </w:pPr>
            <w:r>
              <w:rPr>
                <w:rFonts w:hint="eastAsia" w:cs="Times New Roman" w:eastAsiaTheme="minorEastAsia"/>
                <w:kern w:val="2"/>
                <w:sz w:val="18"/>
                <w:szCs w:val="18"/>
                <w:lang w:val="en-US" w:eastAsia="zh-CN"/>
              </w:rPr>
              <w:t>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77" w:type="dxa"/>
            <w:gridSpan w:val="4"/>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运营单位</w:t>
            </w:r>
          </w:p>
        </w:tc>
        <w:tc>
          <w:tcPr>
            <w:tcW w:w="3321"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rPr>
            </w:pPr>
            <w:r>
              <w:rPr>
                <w:rFonts w:hint="eastAsia" w:cs="Times New Roman" w:eastAsiaTheme="minorEastAsia"/>
                <w:color w:val="000000"/>
                <w:kern w:val="2"/>
                <w:sz w:val="18"/>
                <w:szCs w:val="18"/>
                <w:lang w:eastAsia="zh-CN"/>
              </w:rPr>
              <w:t>上海电气风电广东</w:t>
            </w:r>
            <w:r>
              <w:rPr>
                <w:rFonts w:hint="default" w:ascii="Times New Roman" w:hAnsi="Times New Roman" w:cs="Times New Roman" w:eastAsiaTheme="minorEastAsia"/>
                <w:color w:val="000000"/>
                <w:kern w:val="2"/>
                <w:sz w:val="18"/>
                <w:szCs w:val="18"/>
              </w:rPr>
              <w:t>有限公司</w:t>
            </w:r>
          </w:p>
        </w:tc>
        <w:tc>
          <w:tcPr>
            <w:tcW w:w="3229" w:type="dxa"/>
            <w:gridSpan w:val="6"/>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color w:val="000000"/>
                <w:kern w:val="2"/>
                <w:sz w:val="15"/>
                <w:szCs w:val="15"/>
              </w:rPr>
              <w:t>运营单位社会统一信用代码（或组织机构代码）</w:t>
            </w:r>
          </w:p>
        </w:tc>
        <w:tc>
          <w:tcPr>
            <w:tcW w:w="2706"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8"/>
                <w:szCs w:val="18"/>
                <w:lang w:val="en-US" w:eastAsia="zh-CN"/>
              </w:rPr>
            </w:pPr>
            <w:r>
              <w:rPr>
                <w:rFonts w:hint="eastAsia" w:cs="Times New Roman" w:eastAsiaTheme="minorEastAsia"/>
                <w:b w:val="0"/>
                <w:bCs/>
                <w:color w:val="000000"/>
                <w:kern w:val="2"/>
                <w:sz w:val="18"/>
                <w:szCs w:val="18"/>
                <w:lang w:val="en-US" w:eastAsia="zh-CN"/>
              </w:rPr>
              <w:t>91440512MA51142KX7</w:t>
            </w:r>
          </w:p>
        </w:tc>
        <w:tc>
          <w:tcPr>
            <w:tcW w:w="1660"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验收时间</w:t>
            </w:r>
          </w:p>
        </w:tc>
        <w:tc>
          <w:tcPr>
            <w:tcW w:w="2583" w:type="dxa"/>
            <w:gridSpan w:val="3"/>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lang w:val="en-US" w:eastAsia="zh-CN"/>
              </w:rPr>
            </w:pPr>
            <w:r>
              <w:rPr>
                <w:rFonts w:hint="eastAsia" w:cs="Times New Roman" w:eastAsiaTheme="minorEastAsia"/>
                <w:color w:val="000000"/>
                <w:kern w:val="2"/>
                <w:sz w:val="18"/>
                <w:szCs w:val="18"/>
                <w:lang w:val="en-US" w:eastAsia="zh-CN"/>
              </w:rPr>
              <w:t>2020年7月11日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spacing w:val="20"/>
                <w:kern w:val="2"/>
                <w:sz w:val="15"/>
                <w:szCs w:val="15"/>
              </w:rPr>
            </w:pPr>
            <w:r>
              <w:rPr>
                <w:rFonts w:hint="default" w:ascii="Times New Roman" w:hAnsi="Times New Roman" w:cs="Times New Roman" w:eastAsiaTheme="minorEastAsia"/>
                <w:b/>
                <w:color w:val="000000"/>
                <w:spacing w:val="20"/>
                <w:kern w:val="2"/>
                <w:sz w:val="15"/>
                <w:szCs w:val="15"/>
              </w:rPr>
              <w:t>污染</w:t>
            </w:r>
          </w:p>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spacing w:val="20"/>
                <w:kern w:val="2"/>
                <w:sz w:val="15"/>
                <w:szCs w:val="15"/>
              </w:rPr>
            </w:pPr>
            <w:r>
              <w:rPr>
                <w:rFonts w:hint="default" w:ascii="Times New Roman" w:hAnsi="Times New Roman" w:cs="Times New Roman" w:eastAsiaTheme="minorEastAsia"/>
                <w:b/>
                <w:color w:val="000000"/>
                <w:spacing w:val="20"/>
                <w:kern w:val="2"/>
                <w:sz w:val="15"/>
                <w:szCs w:val="15"/>
              </w:rPr>
              <w:t>物排</w:t>
            </w:r>
          </w:p>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spacing w:val="20"/>
                <w:kern w:val="2"/>
                <w:sz w:val="15"/>
                <w:szCs w:val="15"/>
              </w:rPr>
            </w:pPr>
            <w:r>
              <w:rPr>
                <w:rFonts w:hint="default" w:ascii="Times New Roman" w:hAnsi="Times New Roman" w:cs="Times New Roman" w:eastAsiaTheme="minorEastAsia"/>
                <w:b/>
                <w:color w:val="000000"/>
                <w:spacing w:val="20"/>
                <w:kern w:val="2"/>
                <w:sz w:val="15"/>
                <w:szCs w:val="15"/>
              </w:rPr>
              <w:t>放达</w:t>
            </w:r>
          </w:p>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spacing w:val="20"/>
                <w:kern w:val="2"/>
                <w:sz w:val="15"/>
                <w:szCs w:val="15"/>
              </w:rPr>
            </w:pPr>
            <w:r>
              <w:rPr>
                <w:rFonts w:hint="default" w:ascii="Times New Roman" w:hAnsi="Times New Roman" w:cs="Times New Roman" w:eastAsiaTheme="minorEastAsia"/>
                <w:b/>
                <w:color w:val="000000"/>
                <w:spacing w:val="20"/>
                <w:kern w:val="2"/>
                <w:sz w:val="15"/>
                <w:szCs w:val="15"/>
              </w:rPr>
              <w:t>标与</w:t>
            </w:r>
          </w:p>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spacing w:val="20"/>
                <w:kern w:val="2"/>
                <w:sz w:val="15"/>
                <w:szCs w:val="15"/>
              </w:rPr>
            </w:pPr>
            <w:r>
              <w:rPr>
                <w:rFonts w:hint="default" w:ascii="Times New Roman" w:hAnsi="Times New Roman" w:cs="Times New Roman" w:eastAsiaTheme="minorEastAsia"/>
                <w:b/>
                <w:color w:val="000000"/>
                <w:spacing w:val="20"/>
                <w:kern w:val="2"/>
                <w:sz w:val="15"/>
                <w:szCs w:val="15"/>
              </w:rPr>
              <w:t>总量</w:t>
            </w:r>
          </w:p>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spacing w:val="20"/>
                <w:kern w:val="2"/>
                <w:sz w:val="15"/>
                <w:szCs w:val="15"/>
              </w:rPr>
            </w:pPr>
            <w:r>
              <w:rPr>
                <w:rFonts w:hint="default" w:ascii="Times New Roman" w:hAnsi="Times New Roman" w:cs="Times New Roman" w:eastAsiaTheme="minorEastAsia"/>
                <w:b/>
                <w:color w:val="000000"/>
                <w:spacing w:val="20"/>
                <w:kern w:val="2"/>
                <w:sz w:val="15"/>
                <w:szCs w:val="15"/>
              </w:rPr>
              <w:t>控制（工</w:t>
            </w:r>
          </w:p>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spacing w:val="20"/>
                <w:kern w:val="2"/>
                <w:sz w:val="15"/>
                <w:szCs w:val="15"/>
              </w:rPr>
            </w:pPr>
            <w:r>
              <w:rPr>
                <w:rFonts w:hint="default" w:ascii="Times New Roman" w:hAnsi="Times New Roman" w:cs="Times New Roman" w:eastAsiaTheme="minorEastAsia"/>
                <w:b/>
                <w:color w:val="000000"/>
                <w:spacing w:val="20"/>
                <w:kern w:val="2"/>
                <w:sz w:val="15"/>
                <w:szCs w:val="15"/>
              </w:rPr>
              <w:t>业建</w:t>
            </w:r>
          </w:p>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spacing w:val="20"/>
                <w:kern w:val="2"/>
                <w:sz w:val="15"/>
                <w:szCs w:val="15"/>
              </w:rPr>
            </w:pPr>
            <w:r>
              <w:rPr>
                <w:rFonts w:hint="default" w:ascii="Times New Roman" w:hAnsi="Times New Roman" w:cs="Times New Roman" w:eastAsiaTheme="minorEastAsia"/>
                <w:b/>
                <w:color w:val="000000"/>
                <w:spacing w:val="20"/>
                <w:kern w:val="2"/>
                <w:sz w:val="15"/>
                <w:szCs w:val="15"/>
              </w:rPr>
              <w:t>设项</w:t>
            </w:r>
          </w:p>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spacing w:val="20"/>
                <w:kern w:val="2"/>
                <w:sz w:val="15"/>
                <w:szCs w:val="15"/>
              </w:rPr>
            </w:pPr>
            <w:r>
              <w:rPr>
                <w:rFonts w:hint="default" w:ascii="Times New Roman" w:hAnsi="Times New Roman" w:cs="Times New Roman" w:eastAsiaTheme="minorEastAsia"/>
                <w:b/>
                <w:color w:val="000000"/>
                <w:spacing w:val="20"/>
                <w:kern w:val="2"/>
                <w:sz w:val="15"/>
                <w:szCs w:val="15"/>
              </w:rPr>
              <w:t>目详填）</w:t>
            </w:r>
          </w:p>
        </w:tc>
        <w:tc>
          <w:tcPr>
            <w:tcW w:w="1779"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color w:val="000000"/>
                <w:kern w:val="2"/>
                <w:sz w:val="15"/>
                <w:szCs w:val="15"/>
              </w:rPr>
              <w:t>污染物</w:t>
            </w:r>
          </w:p>
        </w:tc>
        <w:tc>
          <w:tcPr>
            <w:tcW w:w="845"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原有排放量(1)</w:t>
            </w:r>
          </w:p>
        </w:tc>
        <w:tc>
          <w:tcPr>
            <w:tcW w:w="137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本期工程实际排放浓度(2)</w:t>
            </w:r>
          </w:p>
        </w:tc>
        <w:tc>
          <w:tcPr>
            <w:tcW w:w="109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本期工程允许排放浓度(3)</w:t>
            </w:r>
          </w:p>
        </w:tc>
        <w:tc>
          <w:tcPr>
            <w:tcW w:w="91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本期工程产生量(4)</w:t>
            </w:r>
          </w:p>
        </w:tc>
        <w:tc>
          <w:tcPr>
            <w:tcW w:w="990"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本期工程自身削减量(5)</w:t>
            </w:r>
          </w:p>
        </w:tc>
        <w:tc>
          <w:tcPr>
            <w:tcW w:w="1326"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本期工程实际排放量(6)</w:t>
            </w:r>
          </w:p>
        </w:tc>
        <w:tc>
          <w:tcPr>
            <w:tcW w:w="118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本期工程核定排放总量(7)</w:t>
            </w:r>
          </w:p>
        </w:tc>
        <w:tc>
          <w:tcPr>
            <w:tcW w:w="151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本期工程“以新带老”削减量(8)</w:t>
            </w:r>
          </w:p>
        </w:tc>
        <w:tc>
          <w:tcPr>
            <w:tcW w:w="110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全厂实际排放总量(9)</w:t>
            </w:r>
          </w:p>
        </w:tc>
        <w:tc>
          <w:tcPr>
            <w:tcW w:w="1244"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全厂核定排放总量(10)</w:t>
            </w:r>
          </w:p>
        </w:tc>
        <w:tc>
          <w:tcPr>
            <w:tcW w:w="1102"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区域平衡替代削减量(11)</w:t>
            </w:r>
          </w:p>
        </w:tc>
        <w:tc>
          <w:tcPr>
            <w:tcW w:w="794"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779"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color w:val="000000"/>
                <w:kern w:val="2"/>
                <w:sz w:val="15"/>
                <w:szCs w:val="15"/>
              </w:rPr>
              <w:t>废水</w:t>
            </w:r>
          </w:p>
        </w:tc>
        <w:tc>
          <w:tcPr>
            <w:tcW w:w="845"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7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09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1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90"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26"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8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51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244"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2"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794"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779"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化学需氧量</w:t>
            </w:r>
          </w:p>
        </w:tc>
        <w:tc>
          <w:tcPr>
            <w:tcW w:w="845"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7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09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1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90"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26"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8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51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244"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2"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794"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779"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氨氮</w:t>
            </w:r>
          </w:p>
        </w:tc>
        <w:tc>
          <w:tcPr>
            <w:tcW w:w="845"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7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09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1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90"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26"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8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51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244"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2"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794"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779"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石油类</w:t>
            </w:r>
          </w:p>
        </w:tc>
        <w:tc>
          <w:tcPr>
            <w:tcW w:w="845"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7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09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1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90"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26"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8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51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244"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2"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794"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779"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废气</w:t>
            </w:r>
          </w:p>
        </w:tc>
        <w:tc>
          <w:tcPr>
            <w:tcW w:w="845"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7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09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1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90"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26"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8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51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244"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2"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794"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779"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二氧化硫</w:t>
            </w:r>
          </w:p>
        </w:tc>
        <w:tc>
          <w:tcPr>
            <w:tcW w:w="845"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7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09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1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90"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26"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8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51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244"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2"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outlineLvl w:val="9"/>
              <w:rPr>
                <w:rFonts w:hint="default" w:ascii="Times New Roman" w:hAnsi="Times New Roman" w:cs="Times New Roman" w:eastAsiaTheme="minorEastAsia"/>
                <w:color w:val="000000"/>
                <w:kern w:val="2"/>
                <w:sz w:val="15"/>
                <w:szCs w:val="15"/>
              </w:rPr>
            </w:pPr>
          </w:p>
        </w:tc>
        <w:tc>
          <w:tcPr>
            <w:tcW w:w="794"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outlineLvl w:val="9"/>
              <w:rPr>
                <w:rFonts w:hint="default" w:ascii="Times New Roman" w:hAnsi="Times New Roman" w:cs="Times New Roman" w:eastAsiaTheme="minorEastAsia"/>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779"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烟尘</w:t>
            </w:r>
          </w:p>
        </w:tc>
        <w:tc>
          <w:tcPr>
            <w:tcW w:w="845"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7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09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1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90"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26"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8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51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244"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2"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outlineLvl w:val="9"/>
              <w:rPr>
                <w:rFonts w:hint="default" w:ascii="Times New Roman" w:hAnsi="Times New Roman" w:cs="Times New Roman" w:eastAsiaTheme="minorEastAsia"/>
                <w:color w:val="000000"/>
                <w:kern w:val="2"/>
                <w:sz w:val="15"/>
                <w:szCs w:val="15"/>
              </w:rPr>
            </w:pPr>
          </w:p>
        </w:tc>
        <w:tc>
          <w:tcPr>
            <w:tcW w:w="794"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outlineLvl w:val="9"/>
              <w:rPr>
                <w:rFonts w:hint="default" w:ascii="Times New Roman" w:hAnsi="Times New Roman" w:cs="Times New Roman" w:eastAsiaTheme="minorEastAsia"/>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779"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工业粉尘</w:t>
            </w:r>
          </w:p>
        </w:tc>
        <w:tc>
          <w:tcPr>
            <w:tcW w:w="845"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7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09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1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90"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26"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8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51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244"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2"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794"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779"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氮氧化物</w:t>
            </w:r>
          </w:p>
        </w:tc>
        <w:tc>
          <w:tcPr>
            <w:tcW w:w="845"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7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09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1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90"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26"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8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51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244"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2"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outlineLvl w:val="9"/>
              <w:rPr>
                <w:rFonts w:hint="default" w:ascii="Times New Roman" w:hAnsi="Times New Roman" w:cs="Times New Roman" w:eastAsiaTheme="minorEastAsia"/>
                <w:color w:val="000000"/>
                <w:kern w:val="2"/>
                <w:sz w:val="15"/>
                <w:szCs w:val="15"/>
              </w:rPr>
            </w:pPr>
          </w:p>
        </w:tc>
        <w:tc>
          <w:tcPr>
            <w:tcW w:w="794"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outlineLvl w:val="9"/>
              <w:rPr>
                <w:rFonts w:hint="default" w:ascii="Times New Roman" w:hAnsi="Times New Roman" w:cs="Times New Roman" w:eastAsiaTheme="minorEastAsia"/>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Change w:id="1" w:author="楠。" w:date="2019-08-04T17:13:00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blPrExChange>
        </w:tblPrEx>
        <w:trPr>
          <w:wAfter w:w="0" w:type="auto"/>
          <w:cantSplit/>
          <w:trHeight w:val="23" w:hRule="atLeast"/>
          <w:jc w:val="center"/>
          <w:trPrChange w:id="1" w:author="楠。" w:date="2019-08-04T17:13:00Z">
            <w:trPr>
              <w:gridAfter w:val="1"/>
              <w:wAfter w:w="51" w:type="dxa"/>
              <w:cantSplit/>
              <w:trHeight w:val="19" w:hRule="atLeast"/>
              <w:jc w:val="center"/>
            </w:trPr>
          </w:trPrChange>
        </w:trPr>
        <w:tc>
          <w:tcPr>
            <w:tcW w:w="598" w:type="dxa"/>
            <w:gridSpan w:val="2"/>
            <w:vMerge w:val="continue"/>
            <w:noWrap w:val="0"/>
            <w:tcMar>
              <w:left w:w="57" w:type="dxa"/>
              <w:right w:w="57" w:type="dxa"/>
            </w:tcMar>
            <w:vAlign w:val="center"/>
            <w:tcPrChange w:id="2" w:author="楠。" w:date="2019-08-04T17:13:00Z">
              <w:tcPr>
                <w:tcW w:w="598" w:type="dxa"/>
                <w:gridSpan w:val="3"/>
                <w:vMerge w:val="continue"/>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779" w:type="dxa"/>
            <w:gridSpan w:val="2"/>
            <w:noWrap w:val="0"/>
            <w:tcMar>
              <w:left w:w="57" w:type="dxa"/>
              <w:right w:w="57" w:type="dxa"/>
            </w:tcMar>
            <w:vAlign w:val="center"/>
            <w:tcPrChange w:id="3" w:author="楠。" w:date="2019-08-04T17:13:00Z">
              <w:tcPr>
                <w:tcW w:w="1779" w:type="dxa"/>
                <w:gridSpan w:val="4"/>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b/>
                <w:color w:val="000000"/>
                <w:kern w:val="2"/>
                <w:sz w:val="15"/>
                <w:szCs w:val="15"/>
              </w:rPr>
            </w:pPr>
            <w:r>
              <w:rPr>
                <w:rFonts w:hint="default" w:ascii="Times New Roman" w:hAnsi="Times New Roman" w:cs="Times New Roman" w:eastAsiaTheme="minorEastAsia"/>
                <w:b/>
                <w:color w:val="000000"/>
                <w:kern w:val="2"/>
                <w:sz w:val="15"/>
                <w:szCs w:val="15"/>
              </w:rPr>
              <w:t>工业固体废物</w:t>
            </w:r>
          </w:p>
        </w:tc>
        <w:tc>
          <w:tcPr>
            <w:tcW w:w="845" w:type="dxa"/>
            <w:noWrap w:val="0"/>
            <w:tcMar>
              <w:left w:w="57" w:type="dxa"/>
              <w:right w:w="57" w:type="dxa"/>
            </w:tcMar>
            <w:vAlign w:val="center"/>
            <w:tcPrChange w:id="4" w:author="楠。" w:date="2019-08-04T17:13:00Z">
              <w:tcPr>
                <w:tcW w:w="845" w:type="dxa"/>
                <w:gridSpan w:val="2"/>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p>
        </w:tc>
        <w:tc>
          <w:tcPr>
            <w:tcW w:w="1379" w:type="dxa"/>
            <w:noWrap w:val="0"/>
            <w:tcMar>
              <w:left w:w="57" w:type="dxa"/>
              <w:right w:w="57" w:type="dxa"/>
            </w:tcMar>
            <w:vAlign w:val="center"/>
            <w:tcPrChange w:id="5" w:author="楠。" w:date="2019-08-04T17:13:00Z">
              <w:tcPr>
                <w:tcW w:w="1379" w:type="dxa"/>
                <w:gridSpan w:val="2"/>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p>
        </w:tc>
        <w:tc>
          <w:tcPr>
            <w:tcW w:w="1097" w:type="dxa"/>
            <w:noWrap w:val="0"/>
            <w:tcMar>
              <w:left w:w="57" w:type="dxa"/>
              <w:right w:w="57" w:type="dxa"/>
            </w:tcMar>
            <w:vAlign w:val="center"/>
            <w:tcPrChange w:id="6" w:author="楠。" w:date="2019-08-04T17:13:00Z">
              <w:tcPr>
                <w:tcW w:w="1097" w:type="dxa"/>
                <w:gridSpan w:val="2"/>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p>
        </w:tc>
        <w:tc>
          <w:tcPr>
            <w:tcW w:w="913" w:type="dxa"/>
            <w:gridSpan w:val="2"/>
            <w:noWrap w:val="0"/>
            <w:tcMar>
              <w:left w:w="57" w:type="dxa"/>
              <w:right w:w="57" w:type="dxa"/>
            </w:tcMar>
            <w:vAlign w:val="center"/>
            <w:tcPrChange w:id="7" w:author="楠。" w:date="2019-08-04T17:13:00Z">
              <w:tcPr>
                <w:tcW w:w="1073" w:type="dxa"/>
                <w:gridSpan w:val="4"/>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p>
        </w:tc>
        <w:tc>
          <w:tcPr>
            <w:tcW w:w="990" w:type="dxa"/>
            <w:gridSpan w:val="2"/>
            <w:noWrap w:val="0"/>
            <w:tcMar>
              <w:left w:w="57" w:type="dxa"/>
              <w:right w:w="57" w:type="dxa"/>
            </w:tcMar>
            <w:vAlign w:val="center"/>
            <w:tcPrChange w:id="8" w:author="楠。" w:date="2019-08-04T17:13:00Z">
              <w:tcPr>
                <w:tcW w:w="1019" w:type="dxa"/>
                <w:gridSpan w:val="3"/>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p>
        </w:tc>
        <w:tc>
          <w:tcPr>
            <w:tcW w:w="1326" w:type="dxa"/>
            <w:gridSpan w:val="2"/>
            <w:noWrap w:val="0"/>
            <w:tcMar>
              <w:left w:w="57" w:type="dxa"/>
              <w:right w:w="57" w:type="dxa"/>
            </w:tcMar>
            <w:vAlign w:val="center"/>
            <w:tcPrChange w:id="9" w:author="楠。" w:date="2019-08-04T17:13:00Z">
              <w:tcPr>
                <w:tcW w:w="1137" w:type="dxa"/>
                <w:gridSpan w:val="2"/>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p>
        </w:tc>
        <w:tc>
          <w:tcPr>
            <w:tcW w:w="1189" w:type="dxa"/>
            <w:noWrap w:val="0"/>
            <w:tcMar>
              <w:left w:w="57" w:type="dxa"/>
              <w:right w:w="57" w:type="dxa"/>
            </w:tcMar>
            <w:vAlign w:val="center"/>
            <w:tcPrChange w:id="10" w:author="楠。" w:date="2019-08-04T17:13:00Z">
              <w:tcPr>
                <w:tcW w:w="1189" w:type="dxa"/>
                <w:gridSpan w:val="2"/>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p>
        </w:tc>
        <w:tc>
          <w:tcPr>
            <w:tcW w:w="1517" w:type="dxa"/>
            <w:noWrap w:val="0"/>
            <w:tcMar>
              <w:left w:w="57" w:type="dxa"/>
              <w:right w:w="57" w:type="dxa"/>
            </w:tcMar>
            <w:vAlign w:val="center"/>
            <w:tcPrChange w:id="11" w:author="楠。" w:date="2019-08-04T17:13:00Z">
              <w:tcPr>
                <w:tcW w:w="1517" w:type="dxa"/>
                <w:gridSpan w:val="2"/>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p>
        </w:tc>
        <w:tc>
          <w:tcPr>
            <w:tcW w:w="1103" w:type="dxa"/>
            <w:gridSpan w:val="2"/>
            <w:noWrap w:val="0"/>
            <w:tcMar>
              <w:left w:w="57" w:type="dxa"/>
              <w:right w:w="57" w:type="dxa"/>
            </w:tcMar>
            <w:vAlign w:val="center"/>
            <w:tcPrChange w:id="12" w:author="楠。" w:date="2019-08-04T17:13:00Z">
              <w:tcPr>
                <w:tcW w:w="1103" w:type="dxa"/>
                <w:gridSpan w:val="3"/>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p>
        </w:tc>
        <w:tc>
          <w:tcPr>
            <w:tcW w:w="1244" w:type="dxa"/>
            <w:gridSpan w:val="2"/>
            <w:noWrap w:val="0"/>
            <w:tcMar>
              <w:left w:w="57" w:type="dxa"/>
              <w:right w:w="57" w:type="dxa"/>
            </w:tcMar>
            <w:vAlign w:val="center"/>
            <w:tcPrChange w:id="13" w:author="楠。" w:date="2019-08-04T17:13:00Z">
              <w:tcPr>
                <w:tcW w:w="1244" w:type="dxa"/>
                <w:gridSpan w:val="3"/>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p>
        </w:tc>
        <w:tc>
          <w:tcPr>
            <w:tcW w:w="1102" w:type="dxa"/>
            <w:noWrap w:val="0"/>
            <w:tcMar>
              <w:left w:w="57" w:type="dxa"/>
              <w:right w:w="57" w:type="dxa"/>
            </w:tcMar>
            <w:vAlign w:val="center"/>
            <w:tcPrChange w:id="14" w:author="楠。" w:date="2019-08-04T17:13:00Z">
              <w:tcPr>
                <w:tcW w:w="1102" w:type="dxa"/>
                <w:gridSpan w:val="2"/>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p>
        </w:tc>
        <w:tc>
          <w:tcPr>
            <w:tcW w:w="794" w:type="dxa"/>
            <w:noWrap w:val="0"/>
            <w:tcMar>
              <w:left w:w="57" w:type="dxa"/>
              <w:right w:w="57" w:type="dxa"/>
            </w:tcMar>
            <w:vAlign w:val="center"/>
            <w:tcPrChange w:id="15" w:author="楠。" w:date="2019-08-04T17:13:00Z">
              <w:tcPr>
                <w:tcW w:w="794" w:type="dxa"/>
                <w:gridSpan w:val="2"/>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Change w:id="16" w:author="AutoBVT" w:date="2019-08-03T21:15:00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blPrExChange>
        </w:tblPrEx>
        <w:trPr>
          <w:wAfter w:w="0" w:type="auto"/>
          <w:cantSplit/>
          <w:trHeight w:val="23" w:hRule="atLeast"/>
          <w:jc w:val="center"/>
          <w:trPrChange w:id="16" w:author="AutoBVT" w:date="2019-08-03T21:15:00Z">
            <w:trPr>
              <w:gridAfter w:val="1"/>
              <w:wAfter w:w="51" w:type="dxa"/>
              <w:cantSplit/>
              <w:trHeight w:val="290" w:hRule="atLeast"/>
              <w:jc w:val="center"/>
            </w:trPr>
          </w:trPrChange>
        </w:trPr>
        <w:tc>
          <w:tcPr>
            <w:tcW w:w="598" w:type="dxa"/>
            <w:gridSpan w:val="2"/>
            <w:vMerge w:val="continue"/>
            <w:noWrap w:val="0"/>
            <w:tcMar>
              <w:left w:w="57" w:type="dxa"/>
              <w:right w:w="57" w:type="dxa"/>
            </w:tcMar>
            <w:vAlign w:val="center"/>
            <w:tcPrChange w:id="17" w:author="AutoBVT" w:date="2019-08-03T21:15:00Z">
              <w:tcPr>
                <w:tcW w:w="598" w:type="dxa"/>
                <w:gridSpan w:val="3"/>
                <w:vMerge w:val="continue"/>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212" w:type="dxa"/>
            <w:vMerge w:val="restart"/>
            <w:noWrap w:val="0"/>
            <w:tcMar>
              <w:left w:w="57" w:type="dxa"/>
              <w:right w:w="57" w:type="dxa"/>
            </w:tcMar>
            <w:vAlign w:val="center"/>
            <w:tcPrChange w:id="18" w:author="AutoBVT" w:date="2019-08-03T21:15:00Z">
              <w:tcPr>
                <w:tcW w:w="1212" w:type="dxa"/>
                <w:gridSpan w:val="2"/>
                <w:vMerge w:val="restart"/>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5"/>
                <w:szCs w:val="15"/>
              </w:rPr>
            </w:pPr>
            <w:r>
              <w:rPr>
                <w:rFonts w:hint="default" w:ascii="Times New Roman" w:hAnsi="Times New Roman" w:cs="Times New Roman" w:eastAsiaTheme="minorEastAsia"/>
                <w:b/>
                <w:color w:val="000000"/>
                <w:kern w:val="2"/>
                <w:sz w:val="15"/>
                <w:szCs w:val="15"/>
              </w:rPr>
              <w:t>与项目有关的其他特征污染物</w:t>
            </w:r>
          </w:p>
        </w:tc>
        <w:tc>
          <w:tcPr>
            <w:tcW w:w="567" w:type="dxa"/>
            <w:noWrap w:val="0"/>
            <w:tcMar>
              <w:left w:w="57" w:type="dxa"/>
              <w:right w:w="57" w:type="dxa"/>
            </w:tcMar>
            <w:vAlign w:val="center"/>
            <w:tcPrChange w:id="19" w:author="AutoBVT" w:date="2019-08-03T21:15:00Z">
              <w:tcPr>
                <w:tcW w:w="567" w:type="dxa"/>
                <w:gridSpan w:val="2"/>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lang w:val="en-US" w:eastAsia="zh-CN"/>
              </w:rPr>
            </w:pPr>
            <w:r>
              <w:rPr>
                <w:rFonts w:hint="eastAsia" w:cs="Times New Roman" w:eastAsiaTheme="minorEastAsia"/>
                <w:color w:val="000000"/>
                <w:kern w:val="2"/>
                <w:sz w:val="18"/>
                <w:szCs w:val="18"/>
                <w:lang w:val="en-US" w:eastAsia="zh-CN"/>
              </w:rPr>
              <w:t>VOCs</w:t>
            </w:r>
          </w:p>
        </w:tc>
        <w:tc>
          <w:tcPr>
            <w:tcW w:w="845" w:type="dxa"/>
            <w:noWrap w:val="0"/>
            <w:tcMar>
              <w:left w:w="57" w:type="dxa"/>
              <w:right w:w="57" w:type="dxa"/>
            </w:tcMar>
            <w:vAlign w:val="center"/>
            <w:tcPrChange w:id="20" w:author="AutoBVT" w:date="2019-08-03T21:15:00Z">
              <w:tcPr>
                <w:tcW w:w="845" w:type="dxa"/>
                <w:gridSpan w:val="2"/>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eastAsia" w:ascii="Times New Roman" w:hAnsi="Times New Roman" w:cs="Times New Roman" w:eastAsiaTheme="minorEastAsia"/>
                <w:color w:val="000000"/>
                <w:kern w:val="2"/>
                <w:sz w:val="18"/>
                <w:szCs w:val="18"/>
                <w:lang w:eastAsia="zh-CN"/>
              </w:rPr>
            </w:pPr>
            <w:r>
              <w:rPr>
                <w:rFonts w:hint="eastAsia" w:cs="Times New Roman" w:eastAsiaTheme="minorEastAsia"/>
                <w:color w:val="000000"/>
                <w:kern w:val="2"/>
                <w:sz w:val="18"/>
                <w:szCs w:val="18"/>
                <w:lang w:eastAsia="zh-CN"/>
              </w:rPr>
              <w:t>——</w:t>
            </w:r>
          </w:p>
        </w:tc>
        <w:tc>
          <w:tcPr>
            <w:tcW w:w="1379" w:type="dxa"/>
            <w:noWrap w:val="0"/>
            <w:tcMar>
              <w:left w:w="57" w:type="dxa"/>
              <w:right w:w="57" w:type="dxa"/>
            </w:tcMar>
            <w:vAlign w:val="center"/>
            <w:tcPrChange w:id="21" w:author="AutoBVT" w:date="2019-08-03T21:15:00Z">
              <w:tcPr>
                <w:tcW w:w="1379" w:type="dxa"/>
                <w:gridSpan w:val="2"/>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vertAlign w:val="superscript"/>
                <w:lang w:val="en-US" w:eastAsia="zh-CN"/>
              </w:rPr>
            </w:pPr>
            <w:r>
              <w:rPr>
                <w:rFonts w:hint="eastAsia" w:cs="Times New Roman" w:eastAsiaTheme="minorEastAsia"/>
                <w:color w:val="000000"/>
                <w:kern w:val="2"/>
                <w:sz w:val="18"/>
                <w:szCs w:val="18"/>
                <w:lang w:val="en-US" w:eastAsia="zh-CN"/>
              </w:rPr>
              <w:t>0.81mg/m</w:t>
            </w:r>
            <w:r>
              <w:rPr>
                <w:rFonts w:hint="eastAsia" w:cs="Times New Roman" w:eastAsiaTheme="minorEastAsia"/>
                <w:color w:val="000000"/>
                <w:kern w:val="2"/>
                <w:sz w:val="18"/>
                <w:szCs w:val="18"/>
                <w:vertAlign w:val="superscript"/>
                <w:lang w:val="en-US" w:eastAsia="zh-CN"/>
              </w:rPr>
              <w:t>3</w:t>
            </w:r>
          </w:p>
        </w:tc>
        <w:tc>
          <w:tcPr>
            <w:tcW w:w="1097" w:type="dxa"/>
            <w:noWrap w:val="0"/>
            <w:tcMar>
              <w:left w:w="57" w:type="dxa"/>
              <w:right w:w="57" w:type="dxa"/>
            </w:tcMar>
            <w:vAlign w:val="center"/>
            <w:tcPrChange w:id="22" w:author="AutoBVT" w:date="2019-08-03T21:15:00Z">
              <w:tcPr>
                <w:tcW w:w="1097" w:type="dxa"/>
                <w:gridSpan w:val="2"/>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vertAlign w:val="superscript"/>
                <w:lang w:val="en-US" w:eastAsia="zh-CN"/>
              </w:rPr>
            </w:pPr>
            <w:r>
              <w:rPr>
                <w:rFonts w:hint="eastAsia" w:cs="Times New Roman" w:eastAsiaTheme="minorEastAsia"/>
                <w:color w:val="000000"/>
                <w:kern w:val="2"/>
                <w:sz w:val="18"/>
                <w:szCs w:val="18"/>
                <w:lang w:val="en-US" w:eastAsia="zh-CN"/>
              </w:rPr>
              <w:t>62.54mg/m</w:t>
            </w:r>
            <w:r>
              <w:rPr>
                <w:rFonts w:hint="eastAsia" w:cs="Times New Roman" w:eastAsiaTheme="minorEastAsia"/>
                <w:color w:val="000000"/>
                <w:kern w:val="2"/>
                <w:sz w:val="18"/>
                <w:szCs w:val="18"/>
                <w:vertAlign w:val="superscript"/>
                <w:lang w:val="en-US" w:eastAsia="zh-CN"/>
              </w:rPr>
              <w:t>3</w:t>
            </w:r>
          </w:p>
        </w:tc>
        <w:tc>
          <w:tcPr>
            <w:tcW w:w="913" w:type="dxa"/>
            <w:gridSpan w:val="2"/>
            <w:noWrap w:val="0"/>
            <w:tcMar>
              <w:left w:w="57" w:type="dxa"/>
              <w:right w:w="57" w:type="dxa"/>
            </w:tcMar>
            <w:vAlign w:val="center"/>
            <w:tcPrChange w:id="23" w:author="AutoBVT" w:date="2019-08-03T21:15:00Z">
              <w:tcPr>
                <w:tcW w:w="1073" w:type="dxa"/>
                <w:gridSpan w:val="4"/>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lang w:val="en-US" w:eastAsia="zh-CN"/>
              </w:rPr>
            </w:pPr>
            <w:r>
              <w:rPr>
                <w:rFonts w:hint="eastAsia" w:cs="Times New Roman" w:eastAsiaTheme="minorEastAsia"/>
                <w:color w:val="000000"/>
                <w:kern w:val="2"/>
                <w:sz w:val="18"/>
                <w:szCs w:val="18"/>
                <w:lang w:val="en-US" w:eastAsia="zh-CN"/>
              </w:rPr>
              <w:t>0.0897t/a</w:t>
            </w:r>
          </w:p>
        </w:tc>
        <w:tc>
          <w:tcPr>
            <w:tcW w:w="990" w:type="dxa"/>
            <w:gridSpan w:val="2"/>
            <w:noWrap w:val="0"/>
            <w:tcMar>
              <w:left w:w="57" w:type="dxa"/>
              <w:right w:w="57" w:type="dxa"/>
            </w:tcMar>
            <w:vAlign w:val="center"/>
            <w:tcPrChange w:id="24" w:author="AutoBVT" w:date="2019-08-03T21:15:00Z">
              <w:tcPr>
                <w:tcW w:w="1019" w:type="dxa"/>
                <w:gridSpan w:val="3"/>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eastAsia" w:ascii="Times New Roman" w:hAnsi="Times New Roman" w:cs="Times New Roman" w:eastAsiaTheme="minorEastAsia"/>
                <w:color w:val="000000"/>
                <w:kern w:val="2"/>
                <w:sz w:val="18"/>
                <w:szCs w:val="18"/>
                <w:lang w:eastAsia="zh-CN"/>
              </w:rPr>
            </w:pPr>
            <w:r>
              <w:rPr>
                <w:rFonts w:hint="eastAsia" w:cs="Times New Roman" w:eastAsiaTheme="minorEastAsia"/>
                <w:color w:val="000000"/>
                <w:kern w:val="2"/>
                <w:sz w:val="18"/>
                <w:szCs w:val="18"/>
                <w:lang w:eastAsia="zh-CN"/>
              </w:rPr>
              <w:t>——</w:t>
            </w:r>
          </w:p>
        </w:tc>
        <w:tc>
          <w:tcPr>
            <w:tcW w:w="1326" w:type="dxa"/>
            <w:gridSpan w:val="2"/>
            <w:noWrap w:val="0"/>
            <w:tcMar>
              <w:left w:w="57" w:type="dxa"/>
              <w:right w:w="57" w:type="dxa"/>
            </w:tcMar>
            <w:vAlign w:val="center"/>
            <w:tcPrChange w:id="25" w:author="AutoBVT" w:date="2019-08-03T21:15:00Z">
              <w:tcPr>
                <w:tcW w:w="1137" w:type="dxa"/>
                <w:gridSpan w:val="2"/>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lang w:val="en-US" w:eastAsia="zh-CN"/>
              </w:rPr>
            </w:pPr>
            <w:r>
              <w:rPr>
                <w:rFonts w:hint="eastAsia" w:cs="Times New Roman" w:eastAsiaTheme="minorEastAsia"/>
                <w:color w:val="000000"/>
                <w:kern w:val="2"/>
                <w:sz w:val="18"/>
                <w:szCs w:val="18"/>
                <w:lang w:val="en-US" w:eastAsia="zh-CN"/>
              </w:rPr>
              <w:t>0.0897t/a</w:t>
            </w:r>
          </w:p>
        </w:tc>
        <w:tc>
          <w:tcPr>
            <w:tcW w:w="1189" w:type="dxa"/>
            <w:noWrap w:val="0"/>
            <w:tcMar>
              <w:left w:w="57" w:type="dxa"/>
              <w:right w:w="57" w:type="dxa"/>
            </w:tcMar>
            <w:vAlign w:val="center"/>
            <w:tcPrChange w:id="26" w:author="AutoBVT" w:date="2019-08-03T21:15:00Z">
              <w:tcPr>
                <w:tcW w:w="1189" w:type="dxa"/>
                <w:gridSpan w:val="2"/>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rPr>
            </w:pPr>
            <w:r>
              <w:rPr>
                <w:rFonts w:hint="eastAsia" w:cs="Times New Roman" w:eastAsiaTheme="minorEastAsia"/>
                <w:color w:val="000000"/>
                <w:kern w:val="2"/>
                <w:sz w:val="18"/>
                <w:szCs w:val="18"/>
                <w:lang w:val="en-US" w:eastAsia="zh-CN"/>
              </w:rPr>
              <w:t>0.0897t/a</w:t>
            </w:r>
          </w:p>
        </w:tc>
        <w:tc>
          <w:tcPr>
            <w:tcW w:w="1517" w:type="dxa"/>
            <w:noWrap w:val="0"/>
            <w:tcMar>
              <w:left w:w="57" w:type="dxa"/>
              <w:right w:w="57" w:type="dxa"/>
            </w:tcMar>
            <w:vAlign w:val="center"/>
            <w:tcPrChange w:id="27" w:author="AutoBVT" w:date="2019-08-03T21:15:00Z">
              <w:tcPr>
                <w:tcW w:w="1517" w:type="dxa"/>
                <w:gridSpan w:val="2"/>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rPr>
            </w:pPr>
            <w:r>
              <w:rPr>
                <w:rFonts w:hint="eastAsia" w:cs="Times New Roman" w:eastAsiaTheme="minorEastAsia"/>
                <w:color w:val="000000"/>
                <w:kern w:val="2"/>
                <w:sz w:val="18"/>
                <w:szCs w:val="18"/>
                <w:lang w:eastAsia="zh-CN"/>
              </w:rPr>
              <w:t>——</w:t>
            </w:r>
          </w:p>
        </w:tc>
        <w:tc>
          <w:tcPr>
            <w:tcW w:w="1103" w:type="dxa"/>
            <w:gridSpan w:val="2"/>
            <w:noWrap w:val="0"/>
            <w:tcMar>
              <w:left w:w="57" w:type="dxa"/>
              <w:right w:w="57" w:type="dxa"/>
            </w:tcMar>
            <w:vAlign w:val="center"/>
            <w:tcPrChange w:id="28" w:author="AutoBVT" w:date="2019-08-03T21:15:00Z">
              <w:tcPr>
                <w:tcW w:w="1103" w:type="dxa"/>
                <w:gridSpan w:val="3"/>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lang w:val="en-US" w:eastAsia="zh-CN"/>
              </w:rPr>
            </w:pPr>
            <w:r>
              <w:rPr>
                <w:rFonts w:hint="eastAsia" w:cs="Times New Roman" w:eastAsiaTheme="minorEastAsia"/>
                <w:color w:val="000000"/>
                <w:kern w:val="2"/>
                <w:sz w:val="18"/>
                <w:szCs w:val="18"/>
                <w:lang w:val="en-US" w:eastAsia="zh-CN"/>
              </w:rPr>
              <w:t>0.0897t/a</w:t>
            </w:r>
          </w:p>
        </w:tc>
        <w:tc>
          <w:tcPr>
            <w:tcW w:w="1244" w:type="dxa"/>
            <w:gridSpan w:val="2"/>
            <w:noWrap w:val="0"/>
            <w:tcMar>
              <w:left w:w="57" w:type="dxa"/>
              <w:right w:w="57" w:type="dxa"/>
            </w:tcMar>
            <w:vAlign w:val="center"/>
            <w:tcPrChange w:id="29" w:author="AutoBVT" w:date="2019-08-03T21:15:00Z">
              <w:tcPr>
                <w:tcW w:w="1244" w:type="dxa"/>
                <w:gridSpan w:val="3"/>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lang w:val="en-US" w:eastAsia="zh-CN"/>
              </w:rPr>
            </w:pPr>
            <w:r>
              <w:rPr>
                <w:rFonts w:hint="eastAsia" w:cs="Times New Roman" w:eastAsiaTheme="minorEastAsia"/>
                <w:color w:val="000000"/>
                <w:kern w:val="2"/>
                <w:sz w:val="18"/>
                <w:szCs w:val="18"/>
                <w:lang w:val="en-US" w:eastAsia="zh-CN"/>
              </w:rPr>
              <w:t>0.0897t/a</w:t>
            </w:r>
          </w:p>
        </w:tc>
        <w:tc>
          <w:tcPr>
            <w:tcW w:w="1102" w:type="dxa"/>
            <w:noWrap w:val="0"/>
            <w:tcMar>
              <w:left w:w="57" w:type="dxa"/>
              <w:right w:w="57" w:type="dxa"/>
            </w:tcMar>
            <w:vAlign w:val="center"/>
            <w:tcPrChange w:id="30" w:author="AutoBVT" w:date="2019-08-03T21:15:00Z">
              <w:tcPr>
                <w:tcW w:w="1102" w:type="dxa"/>
                <w:gridSpan w:val="2"/>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rPr>
            </w:pPr>
            <w:r>
              <w:rPr>
                <w:rFonts w:hint="eastAsia" w:cs="Times New Roman" w:eastAsiaTheme="minorEastAsia"/>
                <w:color w:val="000000"/>
                <w:kern w:val="2"/>
                <w:sz w:val="18"/>
                <w:szCs w:val="18"/>
                <w:lang w:eastAsia="zh-CN"/>
              </w:rPr>
              <w:t>——</w:t>
            </w:r>
          </w:p>
        </w:tc>
        <w:tc>
          <w:tcPr>
            <w:tcW w:w="794" w:type="dxa"/>
            <w:noWrap w:val="0"/>
            <w:tcMar>
              <w:left w:w="57" w:type="dxa"/>
              <w:right w:w="57" w:type="dxa"/>
            </w:tcMar>
            <w:vAlign w:val="center"/>
            <w:tcPrChange w:id="31" w:author="AutoBVT" w:date="2019-08-03T21:15:00Z">
              <w:tcPr>
                <w:tcW w:w="794" w:type="dxa"/>
                <w:gridSpan w:val="2"/>
                <w:noWrap w:val="0"/>
                <w:tcMar>
                  <w:left w:w="57" w:type="dxa"/>
                  <w:right w:w="57" w:type="dxa"/>
                </w:tcMar>
                <w:vAlign w:val="center"/>
              </w:tcPr>
            </w:tcPrChange>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8"/>
                <w:szCs w:val="18"/>
                <w:lang w:val="en-US" w:eastAsia="zh-CN"/>
              </w:rPr>
            </w:pPr>
            <w:r>
              <w:rPr>
                <w:rFonts w:hint="eastAsia" w:cs="Times New Roman" w:eastAsiaTheme="minorEastAsia"/>
                <w:color w:val="000000"/>
                <w:kern w:val="2"/>
                <w:sz w:val="18"/>
                <w:szCs w:val="18"/>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212" w:type="dxa"/>
            <w:vMerge w:val="continue"/>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b/>
                <w:color w:val="000000"/>
                <w:kern w:val="2"/>
                <w:sz w:val="15"/>
                <w:szCs w:val="15"/>
              </w:rPr>
            </w:pPr>
          </w:p>
        </w:tc>
        <w:tc>
          <w:tcPr>
            <w:tcW w:w="56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845"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7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09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1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990"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326"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89"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517"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3"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244" w:type="dxa"/>
            <w:gridSpan w:val="2"/>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1102"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c>
          <w:tcPr>
            <w:tcW w:w="794" w:type="dxa"/>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outlineLvl w:val="9"/>
              <w:rPr>
                <w:rFonts w:hint="default" w:ascii="Times New Roman" w:hAnsi="Times New Roman" w:cs="Times New Roman" w:eastAsiaTheme="minorEastAsia"/>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15876" w:type="dxa"/>
            <w:gridSpan w:val="21"/>
            <w:noWrap w:val="0"/>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outlineLvl w:val="9"/>
              <w:rPr>
                <w:rFonts w:hint="default" w:ascii="Times New Roman" w:hAnsi="Times New Roman" w:cs="Times New Roman" w:eastAsiaTheme="minorEastAsia"/>
                <w:color w:val="000000"/>
                <w:kern w:val="2"/>
                <w:sz w:val="13"/>
                <w:szCs w:val="13"/>
              </w:rPr>
            </w:pPr>
            <w:r>
              <w:rPr>
                <w:rFonts w:hint="default" w:ascii="Times New Roman" w:hAnsi="Times New Roman" w:cs="Times New Roman" w:eastAsiaTheme="minorEastAsia"/>
                <w:color w:val="000000"/>
                <w:kern w:val="2"/>
                <w:sz w:val="13"/>
                <w:szCs w:val="13"/>
              </w:rPr>
              <w:t>注：1、排放增减量：（+）表示增加，（-）表示减少。2、(12)=(6)-(8)-(11)，（9）= (4)-(5)-(8)- (11) +（1）。3、计量单位：废水排放量——万吨/年；废气排放量——万标立方米/年；工业固体废物排放量——万吨/年；水污染物排放浓度——毫克/升</w:t>
            </w:r>
          </w:p>
        </w:tc>
      </w:tr>
    </w:tbl>
    <w:p>
      <w:pPr>
        <w:pStyle w:val="6"/>
        <w:ind w:left="0" w:leftChars="0" w:firstLine="0" w:firstLineChars="0"/>
        <w:rPr>
          <w:rFonts w:hint="default" w:ascii="Times New Roman" w:hAnsi="Times New Roman" w:cs="Times New Roman" w:eastAsiaTheme="minorEastAsia"/>
          <w:b/>
          <w:bCs/>
          <w:lang w:eastAsia="zh-CN"/>
        </w:rPr>
        <w:sectPr>
          <w:footerReference r:id="rId4" w:type="default"/>
          <w:pgSz w:w="16838" w:h="11906" w:orient="landscape"/>
          <w:pgMar w:top="0" w:right="720" w:bottom="0" w:left="720" w:header="851"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p>
      <w:pPr>
        <w:bidi w:val="0"/>
        <w:ind w:left="0" w:leftChars="0" w:firstLine="0" w:firstLineChars="0"/>
        <w:outlineLvl w:val="0"/>
        <w:rPr>
          <w:rFonts w:hint="eastAsia"/>
          <w:b/>
          <w:bCs/>
          <w:lang w:val="en-US" w:eastAsia="zh-CN"/>
        </w:rPr>
      </w:pPr>
      <w:bookmarkStart w:id="382" w:name="_Toc29329"/>
      <w:bookmarkStart w:id="383" w:name="_Toc13106"/>
      <w:bookmarkStart w:id="384" w:name="_Toc27012"/>
      <w:r>
        <w:rPr>
          <w:rFonts w:hint="eastAsia"/>
          <w:b/>
          <w:bCs/>
          <w:lang w:eastAsia="zh-CN"/>
        </w:rPr>
        <w:t>附件</w:t>
      </w:r>
      <w:r>
        <w:rPr>
          <w:rFonts w:hint="eastAsia"/>
          <w:b/>
          <w:bCs/>
          <w:lang w:val="en-US" w:eastAsia="zh-CN"/>
        </w:rPr>
        <w:t>2：营业执照</w:t>
      </w:r>
      <w:bookmarkEnd w:id="382"/>
      <w:bookmarkEnd w:id="383"/>
      <w:bookmarkEnd w:id="384"/>
    </w:p>
    <w:p>
      <w:pPr>
        <w:pStyle w:val="6"/>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7352030" cy="5199380"/>
            <wp:effectExtent l="0" t="0" r="1270" b="1270"/>
            <wp:docPr id="1" name="图片 1" descr="营业执照正本扫描件-变更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正本扫描件-变更_00"/>
                    <pic:cNvPicPr>
                      <a:picLocks noChangeAspect="1"/>
                    </pic:cNvPicPr>
                  </pic:nvPicPr>
                  <pic:blipFill>
                    <a:blip r:embed="rId11"/>
                    <a:stretch>
                      <a:fillRect/>
                    </a:stretch>
                  </pic:blipFill>
                  <pic:spPr>
                    <a:xfrm>
                      <a:off x="0" y="0"/>
                      <a:ext cx="7352030" cy="5199380"/>
                    </a:xfrm>
                    <a:prstGeom prst="rect">
                      <a:avLst/>
                    </a:prstGeom>
                  </pic:spPr>
                </pic:pic>
              </a:graphicData>
            </a:graphic>
          </wp:inline>
        </w:drawing>
      </w:r>
    </w:p>
    <w:p>
      <w:pPr>
        <w:pStyle w:val="6"/>
        <w:ind w:left="0" w:leftChars="0" w:firstLine="0" w:firstLineChars="0"/>
        <w:jc w:val="both"/>
        <w:rPr>
          <w:rFonts w:hint="default"/>
          <w:lang w:val="en-US" w:eastAsia="zh-CN"/>
        </w:rPr>
        <w:sectPr>
          <w:pgSz w:w="16838" w:h="11906" w:orient="landscape"/>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bidi w:val="0"/>
        <w:ind w:left="0" w:leftChars="0" w:firstLine="0" w:firstLineChars="0"/>
        <w:outlineLvl w:val="0"/>
        <w:rPr>
          <w:rFonts w:hint="default"/>
          <w:b/>
          <w:bCs/>
        </w:rPr>
      </w:pPr>
      <w:bookmarkStart w:id="385" w:name="_Toc14856"/>
      <w:bookmarkStart w:id="386" w:name="_Toc25358"/>
      <w:bookmarkStart w:id="387" w:name="_Toc14314"/>
      <w:bookmarkStart w:id="388" w:name="_Toc30255"/>
      <w:bookmarkStart w:id="389" w:name="_Toc3656"/>
      <w:r>
        <w:rPr>
          <w:rFonts w:hint="default"/>
          <w:b/>
          <w:bCs/>
        </w:rPr>
        <w:t>附件</w:t>
      </w:r>
      <w:r>
        <w:rPr>
          <w:rFonts w:hint="default"/>
          <w:b/>
          <w:bCs/>
          <w:lang w:val="en-US" w:eastAsia="zh-CN"/>
        </w:rPr>
        <w:t>3</w:t>
      </w:r>
      <w:r>
        <w:rPr>
          <w:rFonts w:hint="default"/>
          <w:b/>
          <w:bCs/>
          <w:lang w:eastAsia="zh-CN"/>
        </w:rPr>
        <w:t>：</w:t>
      </w:r>
      <w:r>
        <w:rPr>
          <w:rFonts w:hint="default"/>
          <w:b/>
          <w:bCs/>
        </w:rPr>
        <w:t>关于《</w:t>
      </w:r>
      <w:r>
        <w:rPr>
          <w:rFonts w:hint="eastAsia"/>
          <w:b/>
          <w:bCs/>
          <w:lang w:eastAsia="zh-CN"/>
        </w:rPr>
        <w:t>上海电气风电广东</w:t>
      </w:r>
      <w:r>
        <w:rPr>
          <w:rFonts w:hint="default"/>
          <w:b/>
          <w:bCs/>
        </w:rPr>
        <w:t>有限公司</w:t>
      </w:r>
      <w:r>
        <w:rPr>
          <w:rFonts w:hint="eastAsia"/>
          <w:b/>
          <w:bCs/>
          <w:lang w:eastAsia="zh-CN"/>
        </w:rPr>
        <w:t>海上风电智能制造项目</w:t>
      </w:r>
      <w:r>
        <w:rPr>
          <w:rFonts w:hint="default"/>
          <w:b/>
          <w:bCs/>
        </w:rPr>
        <w:t>环境影响报告表》的批复</w:t>
      </w:r>
      <w:bookmarkEnd w:id="385"/>
      <w:bookmarkEnd w:id="386"/>
      <w:bookmarkEnd w:id="387"/>
      <w:bookmarkEnd w:id="388"/>
      <w:bookmarkEnd w:id="389"/>
    </w:p>
    <w:p>
      <w:pPr>
        <w:pStyle w:val="2"/>
        <w:outlineLvl w:val="9"/>
        <w:rPr>
          <w:rFonts w:hint="default" w:ascii="Times New Roman" w:hAnsi="Times New Roman" w:cs="Times New Roman" w:eastAsiaTheme="minorEastAsia"/>
          <w:b/>
          <w:bCs/>
          <w:sz w:val="28"/>
          <w:szCs w:val="28"/>
        </w:rPr>
      </w:pPr>
    </w:p>
    <w:p>
      <w:pPr>
        <w:pStyle w:val="2"/>
        <w:outlineLvl w:val="9"/>
        <w:rPr>
          <w:rFonts w:hint="default" w:ascii="Times New Roman" w:hAnsi="Times New Roman" w:cs="Times New Roman" w:eastAsiaTheme="minorEastAsia"/>
          <w:b/>
          <w:bCs/>
          <w:sz w:val="28"/>
          <w:szCs w:val="28"/>
        </w:rPr>
      </w:pPr>
    </w:p>
    <w:p>
      <w:pPr>
        <w:pStyle w:val="2"/>
        <w:outlineLvl w:val="9"/>
        <w:rPr>
          <w:rFonts w:hint="eastAsia" w:ascii="Times New Roman" w:hAnsi="Times New Roman" w:cs="Times New Roman" w:eastAsiaTheme="minorEastAsia"/>
          <w:b/>
          <w:bCs/>
          <w:sz w:val="28"/>
          <w:szCs w:val="28"/>
          <w:lang w:eastAsia="zh-CN"/>
        </w:rPr>
        <w:sectPr>
          <w:pgSz w:w="11906" w:h="16838"/>
          <w:pgMar w:top="851" w:right="1417" w:bottom="1440" w:left="1417"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eastAsia" w:ascii="Times New Roman" w:hAnsi="Times New Roman" w:cs="Times New Roman" w:eastAsiaTheme="minorEastAsia"/>
          <w:b/>
          <w:bCs/>
          <w:sz w:val="28"/>
          <w:szCs w:val="28"/>
          <w:lang w:eastAsia="zh-CN"/>
        </w:rPr>
        <w:drawing>
          <wp:inline distT="0" distB="0" distL="114300" distR="114300">
            <wp:extent cx="5760720" cy="7558405"/>
            <wp:effectExtent l="0" t="0" r="11430" b="4445"/>
            <wp:docPr id="136" name="图片 136" descr="2e1eda58a8b1da785d27b79ffe64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2e1eda58a8b1da785d27b79ffe6464e"/>
                    <pic:cNvPicPr>
                      <a:picLocks noChangeAspect="1"/>
                    </pic:cNvPicPr>
                  </pic:nvPicPr>
                  <pic:blipFill>
                    <a:blip r:embed="rId12"/>
                    <a:stretch>
                      <a:fillRect/>
                    </a:stretch>
                  </pic:blipFill>
                  <pic:spPr>
                    <a:xfrm>
                      <a:off x="0" y="0"/>
                      <a:ext cx="5760720" cy="7558405"/>
                    </a:xfrm>
                    <a:prstGeom prst="rect">
                      <a:avLst/>
                    </a:prstGeom>
                  </pic:spPr>
                </pic:pic>
              </a:graphicData>
            </a:graphic>
          </wp:inline>
        </w:drawing>
      </w:r>
    </w:p>
    <w:p>
      <w:pPr>
        <w:pStyle w:val="2"/>
        <w:jc w:val="center"/>
        <w:outlineLvl w:val="9"/>
        <w:rPr>
          <w:rFonts w:hint="eastAsia" w:ascii="Times New Roman" w:hAnsi="Times New Roman" w:cs="Times New Roman" w:eastAsiaTheme="minorEastAsia"/>
          <w:b/>
          <w:bCs/>
          <w:sz w:val="28"/>
          <w:szCs w:val="28"/>
          <w:lang w:eastAsia="zh-CN"/>
        </w:rPr>
      </w:pPr>
    </w:p>
    <w:p>
      <w:pPr>
        <w:pStyle w:val="2"/>
        <w:jc w:val="center"/>
        <w:outlineLvl w:val="9"/>
        <w:rPr>
          <w:rFonts w:hint="eastAsia" w:ascii="Times New Roman" w:hAnsi="Times New Roman" w:cs="Times New Roman" w:eastAsiaTheme="minorEastAsia"/>
          <w:b/>
          <w:bCs/>
          <w:sz w:val="28"/>
          <w:szCs w:val="28"/>
          <w:lang w:eastAsia="zh-CN"/>
        </w:rPr>
      </w:pPr>
      <w:r>
        <w:rPr>
          <w:rFonts w:hint="eastAsia" w:ascii="Times New Roman" w:hAnsi="Times New Roman" w:cs="Times New Roman" w:eastAsiaTheme="minorEastAsia"/>
          <w:b/>
          <w:bCs/>
          <w:sz w:val="28"/>
          <w:szCs w:val="28"/>
          <w:lang w:eastAsia="zh-CN"/>
        </w:rPr>
        <w:drawing>
          <wp:inline distT="0" distB="0" distL="114300" distR="114300">
            <wp:extent cx="5760720" cy="8155940"/>
            <wp:effectExtent l="0" t="0" r="11430" b="16510"/>
            <wp:docPr id="137" name="图片 137" descr="4cfe0f2e67930494809e9296ad8ef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4cfe0f2e67930494809e9296ad8ef6b"/>
                    <pic:cNvPicPr>
                      <a:picLocks noChangeAspect="1"/>
                    </pic:cNvPicPr>
                  </pic:nvPicPr>
                  <pic:blipFill>
                    <a:blip r:embed="rId13"/>
                    <a:stretch>
                      <a:fillRect/>
                    </a:stretch>
                  </pic:blipFill>
                  <pic:spPr>
                    <a:xfrm>
                      <a:off x="0" y="0"/>
                      <a:ext cx="5760720" cy="8155940"/>
                    </a:xfrm>
                    <a:prstGeom prst="rect">
                      <a:avLst/>
                    </a:prstGeom>
                  </pic:spPr>
                </pic:pic>
              </a:graphicData>
            </a:graphic>
          </wp:inline>
        </w:drawing>
      </w:r>
    </w:p>
    <w:p>
      <w:pPr>
        <w:bidi w:val="0"/>
        <w:ind w:left="0" w:leftChars="0" w:firstLine="0" w:firstLineChars="0"/>
        <w:outlineLvl w:val="0"/>
        <w:rPr>
          <w:rFonts w:hint="default"/>
          <w:b/>
          <w:bCs/>
          <w:lang w:val="en-US" w:eastAsia="zh-CN"/>
        </w:rPr>
      </w:pPr>
      <w:bookmarkStart w:id="390" w:name="_Toc7122"/>
      <w:bookmarkStart w:id="391" w:name="_Toc3712"/>
      <w:bookmarkStart w:id="392" w:name="_Toc4620"/>
      <w:r>
        <w:rPr>
          <w:rFonts w:hint="default"/>
          <w:b/>
          <w:bCs/>
          <w:lang w:val="en-US" w:eastAsia="zh-CN"/>
        </w:rPr>
        <w:t>附件</w:t>
      </w:r>
      <w:r>
        <w:rPr>
          <w:rFonts w:hint="eastAsia"/>
          <w:b/>
          <w:bCs/>
          <w:lang w:val="en-US" w:eastAsia="zh-CN"/>
        </w:rPr>
        <w:t>4</w:t>
      </w:r>
      <w:r>
        <w:rPr>
          <w:rFonts w:hint="default"/>
          <w:b/>
          <w:bCs/>
          <w:lang w:val="en-US" w:eastAsia="zh-CN"/>
        </w:rPr>
        <w:t>：检测报告</w:t>
      </w:r>
      <w:bookmarkEnd w:id="390"/>
      <w:bookmarkEnd w:id="391"/>
      <w:bookmarkEnd w:id="392"/>
    </w:p>
    <w:p>
      <w:pPr>
        <w:pStyle w:val="2"/>
        <w:jc w:val="center"/>
        <w:rPr>
          <w:rFonts w:hint="default"/>
          <w:lang w:val="en-US" w:eastAsia="zh-CN"/>
        </w:rPr>
      </w:pPr>
      <w:r>
        <w:rPr>
          <w:rFonts w:hint="default"/>
          <w:lang w:val="en-US" w:eastAsia="zh-CN"/>
        </w:rPr>
        <w:drawing>
          <wp:inline distT="0" distB="0" distL="114300" distR="114300">
            <wp:extent cx="5271135" cy="7456805"/>
            <wp:effectExtent l="0" t="0" r="5715" b="10795"/>
            <wp:docPr id="60" name="图片 60" descr="AJT200618301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AJT200618301_页面_01"/>
                    <pic:cNvPicPr>
                      <a:picLocks noChangeAspect="1"/>
                    </pic:cNvPicPr>
                  </pic:nvPicPr>
                  <pic:blipFill>
                    <a:blip r:embed="rId14"/>
                    <a:stretch>
                      <a:fillRect/>
                    </a:stretch>
                  </pic:blipFill>
                  <pic:spPr>
                    <a:xfrm>
                      <a:off x="0" y="0"/>
                      <a:ext cx="5271135" cy="7456805"/>
                    </a:xfrm>
                    <a:prstGeom prst="rect">
                      <a:avLst/>
                    </a:prstGeom>
                  </pic:spPr>
                </pic:pic>
              </a:graphicData>
            </a:graphic>
          </wp:inline>
        </w:drawing>
      </w:r>
      <w:r>
        <w:rPr>
          <w:rFonts w:hint="default"/>
          <w:lang w:val="en-US" w:eastAsia="zh-CN"/>
        </w:rPr>
        <w:drawing>
          <wp:inline distT="0" distB="0" distL="114300" distR="114300">
            <wp:extent cx="5271135" cy="7456805"/>
            <wp:effectExtent l="0" t="0" r="5715" b="10795"/>
            <wp:docPr id="59" name="图片 59" descr="AJT200618301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AJT200618301_页面_02"/>
                    <pic:cNvPicPr>
                      <a:picLocks noChangeAspect="1"/>
                    </pic:cNvPicPr>
                  </pic:nvPicPr>
                  <pic:blipFill>
                    <a:blip r:embed="rId15"/>
                    <a:stretch>
                      <a:fillRect/>
                    </a:stretch>
                  </pic:blipFill>
                  <pic:spPr>
                    <a:xfrm>
                      <a:off x="0" y="0"/>
                      <a:ext cx="5271135" cy="7456805"/>
                    </a:xfrm>
                    <a:prstGeom prst="rect">
                      <a:avLst/>
                    </a:prstGeom>
                  </pic:spPr>
                </pic:pic>
              </a:graphicData>
            </a:graphic>
          </wp:inline>
        </w:drawing>
      </w:r>
      <w:r>
        <w:rPr>
          <w:rFonts w:hint="default"/>
          <w:lang w:val="en-US" w:eastAsia="zh-CN"/>
        </w:rPr>
        <w:drawing>
          <wp:inline distT="0" distB="0" distL="114300" distR="114300">
            <wp:extent cx="5271135" cy="7456805"/>
            <wp:effectExtent l="0" t="0" r="5715" b="10795"/>
            <wp:docPr id="58" name="图片 58" descr="AJT200618301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AJT200618301_页面_03"/>
                    <pic:cNvPicPr>
                      <a:picLocks noChangeAspect="1"/>
                    </pic:cNvPicPr>
                  </pic:nvPicPr>
                  <pic:blipFill>
                    <a:blip r:embed="rId16"/>
                    <a:stretch>
                      <a:fillRect/>
                    </a:stretch>
                  </pic:blipFill>
                  <pic:spPr>
                    <a:xfrm>
                      <a:off x="0" y="0"/>
                      <a:ext cx="5271135" cy="7456805"/>
                    </a:xfrm>
                    <a:prstGeom prst="rect">
                      <a:avLst/>
                    </a:prstGeom>
                  </pic:spPr>
                </pic:pic>
              </a:graphicData>
            </a:graphic>
          </wp:inline>
        </w:drawing>
      </w:r>
      <w:r>
        <w:rPr>
          <w:rFonts w:hint="default"/>
          <w:lang w:val="en-US" w:eastAsia="zh-CN"/>
        </w:rPr>
        <w:drawing>
          <wp:inline distT="0" distB="0" distL="114300" distR="114300">
            <wp:extent cx="5271135" cy="7456805"/>
            <wp:effectExtent l="0" t="0" r="5715" b="10795"/>
            <wp:docPr id="57" name="图片 57" descr="AJT200618301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AJT200618301_页面_04"/>
                    <pic:cNvPicPr>
                      <a:picLocks noChangeAspect="1"/>
                    </pic:cNvPicPr>
                  </pic:nvPicPr>
                  <pic:blipFill>
                    <a:blip r:embed="rId17"/>
                    <a:stretch>
                      <a:fillRect/>
                    </a:stretch>
                  </pic:blipFill>
                  <pic:spPr>
                    <a:xfrm>
                      <a:off x="0" y="0"/>
                      <a:ext cx="5271135" cy="7456805"/>
                    </a:xfrm>
                    <a:prstGeom prst="rect">
                      <a:avLst/>
                    </a:prstGeom>
                  </pic:spPr>
                </pic:pic>
              </a:graphicData>
            </a:graphic>
          </wp:inline>
        </w:drawing>
      </w:r>
      <w:r>
        <w:rPr>
          <w:rFonts w:hint="default"/>
          <w:lang w:val="en-US" w:eastAsia="zh-CN"/>
        </w:rPr>
        <w:drawing>
          <wp:inline distT="0" distB="0" distL="114300" distR="114300">
            <wp:extent cx="5271135" cy="7456805"/>
            <wp:effectExtent l="0" t="0" r="5715" b="10795"/>
            <wp:docPr id="56" name="图片 56" descr="AJT200618301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JT200618301_页面_05"/>
                    <pic:cNvPicPr>
                      <a:picLocks noChangeAspect="1"/>
                    </pic:cNvPicPr>
                  </pic:nvPicPr>
                  <pic:blipFill>
                    <a:blip r:embed="rId18"/>
                    <a:stretch>
                      <a:fillRect/>
                    </a:stretch>
                  </pic:blipFill>
                  <pic:spPr>
                    <a:xfrm>
                      <a:off x="0" y="0"/>
                      <a:ext cx="5271135" cy="7456805"/>
                    </a:xfrm>
                    <a:prstGeom prst="rect">
                      <a:avLst/>
                    </a:prstGeom>
                  </pic:spPr>
                </pic:pic>
              </a:graphicData>
            </a:graphic>
          </wp:inline>
        </w:drawing>
      </w:r>
      <w:r>
        <w:rPr>
          <w:rFonts w:hint="default"/>
          <w:lang w:val="en-US" w:eastAsia="zh-CN"/>
        </w:rPr>
        <w:drawing>
          <wp:inline distT="0" distB="0" distL="114300" distR="114300">
            <wp:extent cx="5271135" cy="7456805"/>
            <wp:effectExtent l="0" t="0" r="5715" b="10795"/>
            <wp:docPr id="55" name="图片 55" descr="AJT200618301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JT200618301_页面_06"/>
                    <pic:cNvPicPr>
                      <a:picLocks noChangeAspect="1"/>
                    </pic:cNvPicPr>
                  </pic:nvPicPr>
                  <pic:blipFill>
                    <a:blip r:embed="rId19"/>
                    <a:stretch>
                      <a:fillRect/>
                    </a:stretch>
                  </pic:blipFill>
                  <pic:spPr>
                    <a:xfrm>
                      <a:off x="0" y="0"/>
                      <a:ext cx="5271135" cy="7456805"/>
                    </a:xfrm>
                    <a:prstGeom prst="rect">
                      <a:avLst/>
                    </a:prstGeom>
                  </pic:spPr>
                </pic:pic>
              </a:graphicData>
            </a:graphic>
          </wp:inline>
        </w:drawing>
      </w:r>
      <w:r>
        <w:rPr>
          <w:rFonts w:hint="default"/>
          <w:lang w:val="en-US" w:eastAsia="zh-CN"/>
        </w:rPr>
        <w:drawing>
          <wp:inline distT="0" distB="0" distL="114300" distR="114300">
            <wp:extent cx="5271135" cy="7456805"/>
            <wp:effectExtent l="0" t="0" r="5715" b="10795"/>
            <wp:docPr id="54" name="图片 54" descr="AJT200618301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AJT200618301_页面_07"/>
                    <pic:cNvPicPr>
                      <a:picLocks noChangeAspect="1"/>
                    </pic:cNvPicPr>
                  </pic:nvPicPr>
                  <pic:blipFill>
                    <a:blip r:embed="rId20"/>
                    <a:stretch>
                      <a:fillRect/>
                    </a:stretch>
                  </pic:blipFill>
                  <pic:spPr>
                    <a:xfrm>
                      <a:off x="0" y="0"/>
                      <a:ext cx="5271135" cy="7456805"/>
                    </a:xfrm>
                    <a:prstGeom prst="rect">
                      <a:avLst/>
                    </a:prstGeom>
                  </pic:spPr>
                </pic:pic>
              </a:graphicData>
            </a:graphic>
          </wp:inline>
        </w:drawing>
      </w:r>
      <w:r>
        <w:rPr>
          <w:rFonts w:hint="default"/>
          <w:lang w:val="en-US" w:eastAsia="zh-CN"/>
        </w:rPr>
        <w:drawing>
          <wp:inline distT="0" distB="0" distL="114300" distR="114300">
            <wp:extent cx="5271135" cy="7456805"/>
            <wp:effectExtent l="0" t="0" r="5715" b="10795"/>
            <wp:docPr id="53" name="图片 53" descr="AJT200618301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JT200618301_页面_08"/>
                    <pic:cNvPicPr>
                      <a:picLocks noChangeAspect="1"/>
                    </pic:cNvPicPr>
                  </pic:nvPicPr>
                  <pic:blipFill>
                    <a:blip r:embed="rId21"/>
                    <a:stretch>
                      <a:fillRect/>
                    </a:stretch>
                  </pic:blipFill>
                  <pic:spPr>
                    <a:xfrm>
                      <a:off x="0" y="0"/>
                      <a:ext cx="5271135" cy="7456805"/>
                    </a:xfrm>
                    <a:prstGeom prst="rect">
                      <a:avLst/>
                    </a:prstGeom>
                  </pic:spPr>
                </pic:pic>
              </a:graphicData>
            </a:graphic>
          </wp:inline>
        </w:drawing>
      </w:r>
      <w:r>
        <w:rPr>
          <w:rFonts w:hint="default"/>
          <w:lang w:val="en-US" w:eastAsia="zh-CN"/>
        </w:rPr>
        <w:drawing>
          <wp:inline distT="0" distB="0" distL="114300" distR="114300">
            <wp:extent cx="5271135" cy="7456805"/>
            <wp:effectExtent l="0" t="0" r="5715" b="10795"/>
            <wp:docPr id="52" name="图片 52" descr="AJT200618301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JT200618301_页面_09"/>
                    <pic:cNvPicPr>
                      <a:picLocks noChangeAspect="1"/>
                    </pic:cNvPicPr>
                  </pic:nvPicPr>
                  <pic:blipFill>
                    <a:blip r:embed="rId22"/>
                    <a:stretch>
                      <a:fillRect/>
                    </a:stretch>
                  </pic:blipFill>
                  <pic:spPr>
                    <a:xfrm>
                      <a:off x="0" y="0"/>
                      <a:ext cx="5271135" cy="7456805"/>
                    </a:xfrm>
                    <a:prstGeom prst="rect">
                      <a:avLst/>
                    </a:prstGeom>
                  </pic:spPr>
                </pic:pic>
              </a:graphicData>
            </a:graphic>
          </wp:inline>
        </w:drawing>
      </w:r>
      <w:r>
        <w:rPr>
          <w:rFonts w:hint="default"/>
          <w:lang w:val="en-US" w:eastAsia="zh-CN"/>
        </w:rPr>
        <w:drawing>
          <wp:inline distT="0" distB="0" distL="114300" distR="114300">
            <wp:extent cx="5271135" cy="7456805"/>
            <wp:effectExtent l="0" t="0" r="5715" b="10795"/>
            <wp:docPr id="50" name="图片 50" descr="AJT200618301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JT200618301_页面_10"/>
                    <pic:cNvPicPr>
                      <a:picLocks noChangeAspect="1"/>
                    </pic:cNvPicPr>
                  </pic:nvPicPr>
                  <pic:blipFill>
                    <a:blip r:embed="rId23"/>
                    <a:stretch>
                      <a:fillRect/>
                    </a:stretch>
                  </pic:blipFill>
                  <pic:spPr>
                    <a:xfrm>
                      <a:off x="0" y="0"/>
                      <a:ext cx="5271135" cy="7456805"/>
                    </a:xfrm>
                    <a:prstGeom prst="rect">
                      <a:avLst/>
                    </a:prstGeom>
                  </pic:spPr>
                </pic:pic>
              </a:graphicData>
            </a:graphic>
          </wp:inline>
        </w:drawing>
      </w:r>
      <w:r>
        <w:rPr>
          <w:rFonts w:hint="default"/>
          <w:lang w:val="en-US" w:eastAsia="zh-CN"/>
        </w:rPr>
        <w:drawing>
          <wp:inline distT="0" distB="0" distL="114300" distR="114300">
            <wp:extent cx="5271135" cy="7456805"/>
            <wp:effectExtent l="0" t="0" r="5715" b="10795"/>
            <wp:docPr id="49" name="图片 49" descr="AJT200618301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AJT200618301_页面_11"/>
                    <pic:cNvPicPr>
                      <a:picLocks noChangeAspect="1"/>
                    </pic:cNvPicPr>
                  </pic:nvPicPr>
                  <pic:blipFill>
                    <a:blip r:embed="rId24"/>
                    <a:stretch>
                      <a:fillRect/>
                    </a:stretch>
                  </pic:blipFill>
                  <pic:spPr>
                    <a:xfrm>
                      <a:off x="0" y="0"/>
                      <a:ext cx="5271135" cy="7456805"/>
                    </a:xfrm>
                    <a:prstGeom prst="rect">
                      <a:avLst/>
                    </a:prstGeom>
                  </pic:spPr>
                </pic:pic>
              </a:graphicData>
            </a:graphic>
          </wp:inline>
        </w:drawing>
      </w:r>
      <w:r>
        <w:rPr>
          <w:rFonts w:hint="default"/>
          <w:lang w:val="en-US" w:eastAsia="zh-CN"/>
        </w:rPr>
        <w:drawing>
          <wp:inline distT="0" distB="0" distL="114300" distR="114300">
            <wp:extent cx="5271135" cy="7456805"/>
            <wp:effectExtent l="0" t="0" r="5715" b="10795"/>
            <wp:docPr id="48" name="图片 48" descr="AJT200618301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JT200618301_页面_12"/>
                    <pic:cNvPicPr>
                      <a:picLocks noChangeAspect="1"/>
                    </pic:cNvPicPr>
                  </pic:nvPicPr>
                  <pic:blipFill>
                    <a:blip r:embed="rId25"/>
                    <a:stretch>
                      <a:fillRect/>
                    </a:stretch>
                  </pic:blipFill>
                  <pic:spPr>
                    <a:xfrm>
                      <a:off x="0" y="0"/>
                      <a:ext cx="5271135" cy="7456805"/>
                    </a:xfrm>
                    <a:prstGeom prst="rect">
                      <a:avLst/>
                    </a:prstGeom>
                  </pic:spPr>
                </pic:pic>
              </a:graphicData>
            </a:graphic>
          </wp:inline>
        </w:drawing>
      </w:r>
      <w:bookmarkStart w:id="402" w:name="_GoBack"/>
      <w:r>
        <w:rPr>
          <w:rFonts w:hint="default"/>
          <w:lang w:val="en-US" w:eastAsia="zh-CN"/>
        </w:rPr>
        <w:drawing>
          <wp:inline distT="0" distB="0" distL="114300" distR="114300">
            <wp:extent cx="5271135" cy="7456805"/>
            <wp:effectExtent l="0" t="0" r="5715" b="10795"/>
            <wp:docPr id="45" name="图片 45" descr="AJT200618301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JT200618301_页面_13"/>
                    <pic:cNvPicPr>
                      <a:picLocks noChangeAspect="1"/>
                    </pic:cNvPicPr>
                  </pic:nvPicPr>
                  <pic:blipFill>
                    <a:blip r:embed="rId26"/>
                    <a:stretch>
                      <a:fillRect/>
                    </a:stretch>
                  </pic:blipFill>
                  <pic:spPr>
                    <a:xfrm>
                      <a:off x="0" y="0"/>
                      <a:ext cx="5271135" cy="7456805"/>
                    </a:xfrm>
                    <a:prstGeom prst="rect">
                      <a:avLst/>
                    </a:prstGeom>
                  </pic:spPr>
                </pic:pic>
              </a:graphicData>
            </a:graphic>
          </wp:inline>
        </w:drawing>
      </w:r>
      <w:bookmarkEnd w:id="402"/>
    </w:p>
    <w:p>
      <w:pPr>
        <w:pStyle w:val="6"/>
        <w:ind w:left="0" w:leftChars="0" w:firstLine="0" w:firstLine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附件5：项目现状工况说明</w:t>
      </w:r>
    </w:p>
    <w:p>
      <w:pPr>
        <w:pStyle w:val="6"/>
        <w:ind w:left="0" w:leftChars="0" w:firstLine="0" w:firstLineChars="0"/>
        <w:jc w:val="both"/>
        <w:rPr>
          <w:rFonts w:hint="eastAsia" w:ascii="Times New Roman" w:hAnsi="Times New Roman" w:cs="Times New Roman"/>
          <w:b/>
          <w:bCs/>
          <w:sz w:val="24"/>
          <w:szCs w:val="24"/>
          <w:lang w:val="en-US" w:eastAsia="zh-CN"/>
        </w:rPr>
      </w:pPr>
    </w:p>
    <w:p>
      <w:pPr>
        <w:pStyle w:val="6"/>
        <w:ind w:left="0" w:leftChars="0" w:firstLine="0" w:firstLineChars="0"/>
        <w:jc w:val="center"/>
        <w:rPr>
          <w:rFonts w:hint="default" w:ascii="Times New Roman" w:hAnsi="Times New Roman" w:cs="Times New Roman"/>
          <w:b/>
          <w:bCs/>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b/>
          <w:bCs/>
          <w:sz w:val="24"/>
          <w:szCs w:val="24"/>
          <w:lang w:val="en-US" w:eastAsia="zh-CN"/>
        </w:rPr>
        <w:drawing>
          <wp:inline distT="0" distB="0" distL="114300" distR="114300">
            <wp:extent cx="5266690" cy="7022465"/>
            <wp:effectExtent l="0" t="0" r="10160" b="6985"/>
            <wp:docPr id="12" name="图片 12" descr="cad7b3d113da6d13c227977fceaa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ad7b3d113da6d13c227977fceaab75"/>
                    <pic:cNvPicPr>
                      <a:picLocks noChangeAspect="1"/>
                    </pic:cNvPicPr>
                  </pic:nvPicPr>
                  <pic:blipFill>
                    <a:blip r:embed="rId27"/>
                    <a:stretch>
                      <a:fillRect/>
                    </a:stretch>
                  </pic:blipFill>
                  <pic:spPr>
                    <a:xfrm>
                      <a:off x="0" y="0"/>
                      <a:ext cx="5266690" cy="7022465"/>
                    </a:xfrm>
                    <a:prstGeom prst="rect">
                      <a:avLst/>
                    </a:prstGeom>
                  </pic:spPr>
                </pic:pic>
              </a:graphicData>
            </a:graphic>
          </wp:inline>
        </w:drawing>
      </w:r>
    </w:p>
    <w:p>
      <w:pPr>
        <w:widowControl/>
        <w:ind w:firstLine="0" w:firstLineChars="0"/>
        <w:jc w:val="center"/>
        <w:rPr>
          <w:rFonts w:ascii="宋体" w:hAnsi="宋体" w:cs="宋体"/>
          <w:kern w:val="0"/>
          <w:lang w:bidi="ar"/>
        </w:rPr>
      </w:pPr>
      <w:r>
        <mc:AlternateContent>
          <mc:Choice Requires="wps">
            <w:drawing>
              <wp:anchor distT="0" distB="0" distL="114300" distR="114300" simplePos="0" relativeHeight="251749376" behindDoc="0" locked="0" layoutInCell="1" allowOverlap="1">
                <wp:simplePos x="0" y="0"/>
                <wp:positionH relativeFrom="column">
                  <wp:posOffset>4046220</wp:posOffset>
                </wp:positionH>
                <wp:positionV relativeFrom="paragraph">
                  <wp:posOffset>2942590</wp:posOffset>
                </wp:positionV>
                <wp:extent cx="762000" cy="389890"/>
                <wp:effectExtent l="0" t="0" r="0" b="0"/>
                <wp:wrapNone/>
                <wp:docPr id="46" name="矩形 46"/>
                <wp:cNvGraphicFramePr/>
                <a:graphic xmlns:a="http://schemas.openxmlformats.org/drawingml/2006/main">
                  <a:graphicData uri="http://schemas.microsoft.com/office/word/2010/wordprocessingShape">
                    <wps:wsp>
                      <wps:cNvSpPr/>
                      <wps:spPr>
                        <a:xfrm rot="18960000">
                          <a:off x="4436745" y="4428490"/>
                          <a:ext cx="762000" cy="389890"/>
                        </a:xfrm>
                        <a:prstGeom prst="rect">
                          <a:avLst/>
                        </a:prstGeom>
                        <a:noFill/>
                        <a:ln w="12700" cap="flat" cmpd="sng" algn="ctr">
                          <a:noFill/>
                          <a:prstDash val="solid"/>
                          <a:miter lim="800000"/>
                        </a:ln>
                        <a:effectLst/>
                      </wps:spPr>
                      <wps:txbx>
                        <w:txbxContent>
                          <w:p>
                            <w:pPr>
                              <w:ind w:firstLine="0" w:firstLineChars="0"/>
                              <w:jc w:val="center"/>
                              <w:rPr>
                                <w:rFonts w:hint="eastAsia"/>
                                <w:color w:val="000000"/>
                              </w:rPr>
                            </w:pPr>
                            <w:r>
                              <w:rPr>
                                <w:rFonts w:hint="eastAsia"/>
                                <w:color w:val="000000"/>
                              </w:rPr>
                              <w:t>汕汾路</w:t>
                            </w:r>
                            <w:r>
                              <w:rPr>
                                <w:rFonts w:hint="eastAsia"/>
                                <w:b/>
                                <w:bCs/>
                              </w:rPr>
                              <w:t>附图1：项目所在地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8.6pt;margin-top:231.7pt;height:30.7pt;width:60pt;rotation:-2883584f;z-index:251749376;v-text-anchor:middle;mso-width-relative:page;mso-height-relative:page;" filled="f" stroked="f" coordsize="21600,21600" o:gfxdata="UEsDBAoAAAAAAIdO4kAAAAAAAAAAAAAAAAAEAAAAZHJzL1BLAwQUAAAACACHTuJASG8GnNkAAAAL&#10;AQAADwAAAGRycy9kb3ducmV2LnhtbE2PsW6DMBCG90p9B+sqdWsMBAglHBkqNRVj0wwdHdsFEnxG&#10;2Anp29eZmvHuPv33/dXmagZ20ZPrLSHEiwiYJmlVTy3C/uv9pQDmvCAlBksa4Vc72NSPD5UolZ3p&#10;U192vmUhhFwpEDrvx5JzJztthFvYUVO4/djJCB/GqeVqEnMINwNPoijnRvQUPnRi1G+dlqfd2SB8&#10;NNuGZtfI+Dvbv24Nl8eTLRCfn+JoDczrq/+H4aYf1KEOTgd7JuXYgJAvV0lAEdJ8mQILxCq7bQ4I&#10;WZIWwOuK33eo/wBQSwMEFAAAAAgAh07iQDafgG1dAgAAiQQAAA4AAABkcnMvZTJvRG9jLnhtbK1U&#10;224TMRB9R+IfLL/TTdJtbuqmiloVIVW0UkA8O15v1pJv2E425WeQeOMj+BzEb3Ds3ZYIeELkwZrx&#10;TM7MnDney6ujVuQgfJDWVHR8NqJEGG5raXYVff/u9tWckhCZqZmyRlT0UQR6tXr54rJzSzGxrVW1&#10;8AQgJiw7V9E2RrcsisBboVk4s04YBBvrNYtw/a6oPeuArlUxGY2mRWd97bzlIgTc3vRBusr4TSN4&#10;vG+aICJRFUVvMZ8+n9t0FqtLttx55lrJhzbYP3ShmTQo+gx1wyIjey//gNKSextsE8+41YVtGslF&#10;ngHTjEe/TbNpmRN5FpAT3DNN4f/B8reHB09kXdFySolhGjv68fnr929fCC7ATufCEkkb9+AHL8BM&#10;ox4br4m3oHQ8X0xH+GUGMBM5Aq48n87KC0oekz2Zl4uBbHGMhCNhNsX+sBKOhPP5Yt7Hix434Tsf&#10;4mthNUlGRT12mQuww12I6AWpTykp3dhbqVTepzKkQ1eTWcZnkFWjWEQp7TBoMDtKmNpBrzz6DHny&#10;3wR5w0JLDgySCVbJuheJlhFKVVJXdJ6GzeOgB2VSdZG1NjSWOOtZSlY8bo8DdVtbP4LuTBpGD47f&#10;StS7YyE+MA/h4RKPKd7jaJTFEHawKGmt//S3+5QPPSBKSQcho+mPe+YFJeqNgVIW47JMys9OeTGb&#10;wPGnke1pxOz1tcXg49xdNlN+VE9m463+gDe3TlURYoajdk/l4FzH/oHh1XKxXuc0qN2xeGc2jifw&#10;fmHrfbSNzLtMRPXsYLHJgd7zioe3mR7UqZ+zfn1BV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G8GnNkAAAALAQAADwAAAAAAAAABACAAAAAiAAAAZHJzL2Rvd25yZXYueG1sUEsBAhQAFAAAAAgA&#10;h07iQDafgG1dAgAAiQQAAA4AAAAAAAAAAQAgAAAAKAEAAGRycy9lMm9Eb2MueG1sUEsFBgAAAAAG&#10;AAYAWQEAAPcFAAAAAA==&#10;">
                <v:fill on="f" focussize="0,0"/>
                <v:stroke on="f" weight="1pt" miterlimit="8" joinstyle="miter"/>
                <v:imagedata o:title=""/>
                <o:lock v:ext="edit" aspectratio="f"/>
                <v:textbox>
                  <w:txbxContent>
                    <w:p>
                      <w:pPr>
                        <w:ind w:firstLine="0" w:firstLineChars="0"/>
                        <w:jc w:val="center"/>
                        <w:rPr>
                          <w:rFonts w:hint="eastAsia"/>
                          <w:color w:val="000000"/>
                        </w:rPr>
                      </w:pPr>
                      <w:r>
                        <w:rPr>
                          <w:rFonts w:hint="eastAsia"/>
                          <w:color w:val="000000"/>
                        </w:rPr>
                        <w:t>汕汾路</w:t>
                      </w:r>
                      <w:r>
                        <w:rPr>
                          <w:rFonts w:hint="eastAsia"/>
                          <w:b/>
                          <w:bCs/>
                        </w:rPr>
                        <w:t>附图1：项目所在地</w:t>
                      </w:r>
                    </w:p>
                  </w:txbxContent>
                </v:textbox>
              </v:rect>
            </w:pict>
          </mc:Fallback>
        </mc:AlternateContent>
      </w:r>
      <w:r>
        <w:rPr>
          <w:rFonts w:ascii="宋体" w:hAnsi="宋体" w:cs="宋体"/>
          <w:kern w:val="0"/>
          <w:lang w:bidi="ar"/>
        </w:rPr>
        <w:drawing>
          <wp:anchor distT="0" distB="0" distL="114300" distR="114300" simplePos="0" relativeHeight="251748352" behindDoc="0" locked="0" layoutInCell="1" allowOverlap="1">
            <wp:simplePos x="0" y="0"/>
            <wp:positionH relativeFrom="column">
              <wp:posOffset>1831975</wp:posOffset>
            </wp:positionH>
            <wp:positionV relativeFrom="paragraph">
              <wp:posOffset>2167890</wp:posOffset>
            </wp:positionV>
            <wp:extent cx="685800" cy="266700"/>
            <wp:effectExtent l="0" t="0" r="0" b="0"/>
            <wp:wrapNone/>
            <wp:docPr id="5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descr="IMG_256"/>
                    <pic:cNvPicPr>
                      <a:picLocks noChangeAspect="1"/>
                    </pic:cNvPicPr>
                  </pic:nvPicPr>
                  <pic:blipFill>
                    <a:blip r:embed="rId28"/>
                    <a:stretch>
                      <a:fillRect/>
                    </a:stretch>
                  </pic:blipFill>
                  <pic:spPr>
                    <a:xfrm>
                      <a:off x="0" y="0"/>
                      <a:ext cx="685800" cy="266700"/>
                    </a:xfrm>
                    <a:prstGeom prst="rect">
                      <a:avLst/>
                    </a:prstGeom>
                    <a:noFill/>
                    <a:ln w="9525">
                      <a:noFill/>
                    </a:ln>
                  </pic:spPr>
                </pic:pic>
              </a:graphicData>
            </a:graphic>
          </wp:anchor>
        </w:drawing>
      </w:r>
      <w:r>
        <w:rPr>
          <w:rFonts w:hint="eastAsia" w:eastAsia="宋体"/>
          <w:color w:val="auto"/>
          <w:highlight w:val="none"/>
          <w:lang w:eastAsia="zh-CN"/>
        </w:rPr>
        <w:drawing>
          <wp:inline distT="0" distB="0" distL="114300" distR="114300">
            <wp:extent cx="9297670" cy="5902325"/>
            <wp:effectExtent l="9525" t="9525" r="27305" b="12700"/>
            <wp:docPr id="138" name="图片 3" descr="项目位置图2018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 descr="项目位置图20180317"/>
                    <pic:cNvPicPr>
                      <a:picLocks noChangeAspect="1"/>
                    </pic:cNvPicPr>
                  </pic:nvPicPr>
                  <pic:blipFill>
                    <a:blip r:embed="rId29"/>
                    <a:stretch>
                      <a:fillRect/>
                    </a:stretch>
                  </pic:blipFill>
                  <pic:spPr>
                    <a:xfrm>
                      <a:off x="0" y="0"/>
                      <a:ext cx="9297670" cy="5902325"/>
                    </a:xfrm>
                    <a:prstGeom prst="rect">
                      <a:avLst/>
                    </a:prstGeom>
                    <a:noFill/>
                    <a:ln w="9525" cap="flat" cmpd="sng">
                      <a:solidFill>
                        <a:srgbClr val="000000"/>
                      </a:solidFill>
                      <a:prstDash val="solid"/>
                      <a:miter/>
                      <a:headEnd type="none" w="med" len="med"/>
                      <a:tailEnd type="none" w="med" len="med"/>
                    </a:ln>
                  </pic:spPr>
                </pic:pic>
              </a:graphicData>
            </a:graphic>
          </wp:inline>
        </w:drawing>
      </w:r>
    </w:p>
    <w:p>
      <w:pPr>
        <w:bidi w:val="0"/>
        <w:ind w:left="0" w:leftChars="0" w:firstLine="0" w:firstLineChars="0"/>
        <w:jc w:val="center"/>
        <w:outlineLvl w:val="0"/>
        <w:rPr>
          <w:rFonts w:hint="eastAsia"/>
        </w:rPr>
        <w:sectPr>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393" w:name="_Toc25596"/>
      <w:bookmarkStart w:id="394" w:name="_Toc24485"/>
      <w:bookmarkStart w:id="395" w:name="_Toc30711"/>
      <w:r>
        <w:rPr>
          <w:rFonts w:hint="eastAsia"/>
          <w:b/>
          <w:bCs/>
        </w:rPr>
        <w:t>附图1：项目地理位置图</w:t>
      </w:r>
      <w:bookmarkEnd w:id="393"/>
      <w:bookmarkEnd w:id="394"/>
      <w:bookmarkEnd w:id="395"/>
    </w:p>
    <w:p>
      <w:pPr>
        <w:ind w:firstLine="0" w:firstLineChars="0"/>
        <w:jc w:val="center"/>
      </w:pPr>
      <w:r>
        <w:rPr>
          <w:rFonts w:hint="eastAsia" w:ascii="黑体" w:hAnsi="黑体" w:eastAsia="黑体" w:cs="黑体"/>
          <w:color w:val="auto"/>
          <w:spacing w:val="-2"/>
          <w:kern w:val="0"/>
          <w:sz w:val="24"/>
          <w:highlight w:val="none"/>
          <w:lang w:eastAsia="zh-CN"/>
        </w:rPr>
        <w:drawing>
          <wp:inline distT="0" distB="0" distL="114300" distR="114300">
            <wp:extent cx="9425305" cy="5855970"/>
            <wp:effectExtent l="9525" t="9525" r="13970" b="20955"/>
            <wp:docPr id="139" name="图片 4" descr="四至图2018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 descr="四至图20180317"/>
                    <pic:cNvPicPr>
                      <a:picLocks noChangeAspect="1"/>
                    </pic:cNvPicPr>
                  </pic:nvPicPr>
                  <pic:blipFill>
                    <a:blip r:embed="rId30"/>
                    <a:srcRect/>
                    <a:stretch>
                      <a:fillRect/>
                    </a:stretch>
                  </pic:blipFill>
                  <pic:spPr>
                    <a:xfrm>
                      <a:off x="0" y="0"/>
                      <a:ext cx="9425305" cy="5855970"/>
                    </a:xfrm>
                    <a:prstGeom prst="rect">
                      <a:avLst/>
                    </a:prstGeom>
                    <a:noFill/>
                    <a:ln w="9525" cap="flat" cmpd="sng">
                      <a:solidFill>
                        <a:srgbClr val="000000"/>
                      </a:solidFill>
                      <a:prstDash val="solid"/>
                      <a:miter/>
                      <a:headEnd type="none" w="med" len="med"/>
                      <a:tailEnd type="none" w="med" len="med"/>
                    </a:ln>
                  </pic:spPr>
                </pic:pic>
              </a:graphicData>
            </a:graphic>
          </wp:inline>
        </w:drawing>
      </w:r>
    </w:p>
    <w:p>
      <w:pPr>
        <w:bidi w:val="0"/>
        <w:ind w:left="0" w:leftChars="0" w:firstLine="0" w:firstLineChars="0"/>
        <w:jc w:val="center"/>
        <w:outlineLvl w:val="0"/>
        <w:rPr>
          <w:rFonts w:hint="default" w:ascii="Times New Roman" w:hAnsi="Times New Roman" w:cs="Times New Roman" w:eastAsiaTheme="minorEastAsia"/>
          <w:b/>
          <w:bCs/>
        </w:rPr>
        <w:sectPr>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396" w:name="_Toc15375"/>
      <w:bookmarkStart w:id="397" w:name="_Toc25448"/>
      <w:bookmarkStart w:id="398" w:name="_Toc8621"/>
      <w:r>
        <w:rPr>
          <w:rFonts w:hint="default"/>
          <w:b/>
          <w:bCs/>
        </w:rPr>
        <w:t>附图</w:t>
      </w:r>
      <w:r>
        <w:rPr>
          <w:rFonts w:hint="default"/>
          <w:b/>
          <w:bCs/>
          <w:lang w:val="en-US" w:eastAsia="zh-CN"/>
        </w:rPr>
        <w:t>2</w:t>
      </w:r>
      <w:r>
        <w:rPr>
          <w:rFonts w:hint="default"/>
          <w:b/>
          <w:bCs/>
        </w:rPr>
        <w:t>：项目四至图</w:t>
      </w:r>
      <w:bookmarkEnd w:id="396"/>
      <w:bookmarkEnd w:id="397"/>
      <w:bookmarkEnd w:id="398"/>
    </w:p>
    <w:p>
      <w:pPr>
        <w:tabs>
          <w:tab w:val="left" w:pos="13085"/>
        </w:tabs>
        <w:bidi w:val="0"/>
        <w:ind w:left="0" w:leftChars="0" w:firstLine="0" w:firstLineChars="0"/>
        <w:jc w:val="center"/>
        <w:rPr>
          <w:rFonts w:hint="eastAsia"/>
          <w:b/>
          <w:bCs/>
          <w:lang w:eastAsia="zh-CN"/>
        </w:rPr>
      </w:pPr>
      <w:r>
        <w:rPr>
          <w:rFonts w:hint="eastAsia"/>
          <w:b/>
          <w:bCs/>
          <w:lang w:eastAsia="zh-CN"/>
        </w:rPr>
        <w:drawing>
          <wp:inline distT="0" distB="0" distL="114300" distR="114300">
            <wp:extent cx="12672060" cy="8964295"/>
            <wp:effectExtent l="0" t="0" r="15240" b="8255"/>
            <wp:docPr id="8" name="图片 8" descr="总平面布置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总平面布置图_00"/>
                    <pic:cNvPicPr>
                      <a:picLocks noChangeAspect="1"/>
                    </pic:cNvPicPr>
                  </pic:nvPicPr>
                  <pic:blipFill>
                    <a:blip r:embed="rId31"/>
                    <a:stretch>
                      <a:fillRect/>
                    </a:stretch>
                  </pic:blipFill>
                  <pic:spPr>
                    <a:xfrm>
                      <a:off x="0" y="0"/>
                      <a:ext cx="12672060" cy="8964295"/>
                    </a:xfrm>
                    <a:prstGeom prst="rect">
                      <a:avLst/>
                    </a:prstGeom>
                  </pic:spPr>
                </pic:pic>
              </a:graphicData>
            </a:graphic>
          </wp:inline>
        </w:drawing>
      </w:r>
    </w:p>
    <w:p>
      <w:pPr>
        <w:bidi w:val="0"/>
        <w:ind w:left="0" w:leftChars="0" w:firstLine="0" w:firstLineChars="0"/>
        <w:jc w:val="center"/>
        <w:outlineLvl w:val="0"/>
        <w:rPr>
          <w:rFonts w:hint="eastAsia"/>
          <w:b/>
          <w:bCs/>
          <w:lang w:val="en-US" w:eastAsia="zh-CN"/>
        </w:rPr>
        <w:sectPr>
          <w:pgSz w:w="23757" w:h="16783"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399" w:name="_Toc30381"/>
      <w:bookmarkStart w:id="400" w:name="_Toc25120"/>
      <w:bookmarkStart w:id="401" w:name="_Toc10458"/>
      <w:r>
        <w:rPr>
          <w:rFonts w:hint="eastAsia"/>
          <w:b/>
          <w:bCs/>
          <w:lang w:eastAsia="zh-CN"/>
        </w:rPr>
        <w:t>附图</w:t>
      </w:r>
      <w:r>
        <w:rPr>
          <w:rFonts w:hint="eastAsia"/>
          <w:b/>
          <w:bCs/>
          <w:lang w:val="en-US" w:eastAsia="zh-CN"/>
        </w:rPr>
        <w:t>3</w:t>
      </w:r>
      <w:r>
        <w:rPr>
          <w:rFonts w:hint="eastAsia"/>
          <w:b/>
          <w:bCs/>
          <w:lang w:eastAsia="zh-CN"/>
        </w:rPr>
        <w:t>：项目</w:t>
      </w:r>
      <w:r>
        <w:rPr>
          <w:rFonts w:hint="eastAsia"/>
          <w:b/>
          <w:bCs/>
          <w:lang w:val="en-US" w:eastAsia="zh-CN"/>
        </w:rPr>
        <w:t>平面布置图</w:t>
      </w:r>
      <w:bookmarkEnd w:id="399"/>
      <w:bookmarkEnd w:id="400"/>
      <w:bookmarkEnd w:id="401"/>
    </w:p>
    <w:p>
      <w:pPr>
        <w:pStyle w:val="2"/>
        <w:rPr>
          <w:rFonts w:hint="default"/>
          <w:lang w:val="en-US" w:eastAsia="zh-CN"/>
        </w:rPr>
        <w:sectPr>
          <w:pgSz w:w="11850" w:h="16783"/>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ind w:left="0" w:leftChars="0" w:firstLine="0" w:firstLineChars="0"/>
        <w:jc w:val="both"/>
        <w:rPr>
          <w:rFonts w:hint="default" w:ascii="宋体" w:hAnsi="宋体" w:eastAsia="宋体" w:cs="宋体"/>
          <w:kern w:val="0"/>
          <w:sz w:val="24"/>
          <w:szCs w:val="24"/>
          <w:lang w:val="en-US" w:eastAsia="zh-CN" w:bidi="ar"/>
        </w:rPr>
      </w:pP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汉仪雅酷黑 75W">
    <w:altName w:val="黑体"/>
    <w:panose1 w:val="020B0804020202020204"/>
    <w:charset w:val="86"/>
    <w:family w:val="auto"/>
    <w:pitch w:val="default"/>
    <w:sig w:usb0="00000000" w:usb1="00000000" w:usb2="00000016" w:usb3="00000000" w:csb0="2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EJvY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fgt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QEJvYVAgAAFw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楠。">
    <w15:presenceInfo w15:providerId="WPS Office" w15:userId="2492137783"/>
  </w15:person>
  <w15:person w15:author="AutoBVT">
    <w15:presenceInfo w15:providerId="None" w15:userId="AutoBV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6F1196"/>
    <w:rsid w:val="00850C76"/>
    <w:rsid w:val="01990FB4"/>
    <w:rsid w:val="02466545"/>
    <w:rsid w:val="091D019A"/>
    <w:rsid w:val="110C6E19"/>
    <w:rsid w:val="13141689"/>
    <w:rsid w:val="13D54479"/>
    <w:rsid w:val="16082CBE"/>
    <w:rsid w:val="1CCB02F8"/>
    <w:rsid w:val="2B955906"/>
    <w:rsid w:val="2F80505A"/>
    <w:rsid w:val="2F824A40"/>
    <w:rsid w:val="333E0D80"/>
    <w:rsid w:val="383A5025"/>
    <w:rsid w:val="3B7E44E1"/>
    <w:rsid w:val="3BB81D75"/>
    <w:rsid w:val="46C11C2A"/>
    <w:rsid w:val="49D96FB4"/>
    <w:rsid w:val="4A287841"/>
    <w:rsid w:val="4F16295C"/>
    <w:rsid w:val="54011ED6"/>
    <w:rsid w:val="5A3F0655"/>
    <w:rsid w:val="5BA3792E"/>
    <w:rsid w:val="5C041BC3"/>
    <w:rsid w:val="6008343A"/>
    <w:rsid w:val="640E3E22"/>
    <w:rsid w:val="70731362"/>
    <w:rsid w:val="715A5AAD"/>
    <w:rsid w:val="71E6546F"/>
    <w:rsid w:val="766F1196"/>
    <w:rsid w:val="769572B3"/>
    <w:rsid w:val="7B617E19"/>
    <w:rsid w:val="7E967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wordWrap w:val="0"/>
      <w:spacing w:line="360" w:lineRule="auto"/>
      <w:ind w:firstLine="504"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ind w:firstLine="0" w:firstLineChars="0"/>
      <w:outlineLvl w:val="0"/>
    </w:pPr>
    <w:rPr>
      <w:b/>
      <w:kern w:val="44"/>
      <w:sz w:val="32"/>
    </w:rPr>
  </w:style>
  <w:style w:type="paragraph" w:styleId="4">
    <w:name w:val="heading 2"/>
    <w:basedOn w:val="1"/>
    <w:next w:val="1"/>
    <w:link w:val="29"/>
    <w:semiHidden/>
    <w:unhideWhenUsed/>
    <w:qFormat/>
    <w:uiPriority w:val="0"/>
    <w:pPr>
      <w:keepNext/>
      <w:keepLines/>
      <w:ind w:firstLine="0" w:firstLineChars="0"/>
      <w:jc w:val="left"/>
      <w:outlineLvl w:val="1"/>
    </w:pPr>
    <w:rPr>
      <w:b/>
      <w:bCs/>
      <w:sz w:val="30"/>
      <w:szCs w:val="30"/>
    </w:rPr>
  </w:style>
  <w:style w:type="paragraph" w:styleId="5">
    <w:name w:val="heading 3"/>
    <w:basedOn w:val="1"/>
    <w:next w:val="1"/>
    <w:semiHidden/>
    <w:unhideWhenUsed/>
    <w:qFormat/>
    <w:uiPriority w:val="0"/>
    <w:pPr>
      <w:keepNext/>
      <w:keepLines/>
      <w:ind w:firstLine="0" w:firstLineChars="0"/>
      <w:jc w:val="left"/>
      <w:outlineLvl w:val="2"/>
    </w:pPr>
    <w:rPr>
      <w:b/>
      <w:bCs/>
      <w:sz w:val="28"/>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Default"/>
    <w:unhideWhenUsed/>
    <w:qFormat/>
    <w:uiPriority w:val="99"/>
    <w:pPr>
      <w:widowControl w:val="0"/>
      <w:autoSpaceDE w:val="0"/>
      <w:autoSpaceDN w:val="0"/>
      <w:adjustRightInd w:val="0"/>
    </w:pPr>
    <w:rPr>
      <w:rFonts w:hint="eastAsia" w:ascii="黑体" w:hAnsi="黑体" w:eastAsia="宋体" w:cs="Times New Roman"/>
      <w:color w:val="000000"/>
      <w:sz w:val="24"/>
      <w:szCs w:val="24"/>
      <w:lang w:val="en-US" w:eastAsia="zh-CN" w:bidi="ar-SA"/>
    </w:rPr>
  </w:style>
  <w:style w:type="paragraph" w:styleId="6">
    <w:name w:val="Plain Text"/>
    <w:basedOn w:val="1"/>
    <w:qFormat/>
    <w:uiPriority w:val="0"/>
    <w:rPr>
      <w:rFonts w:ascii="宋体" w:hAnsi="Courier New"/>
      <w:sz w:val="28"/>
      <w:szCs w:val="21"/>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widowControl/>
      <w:wordWrap/>
      <w:spacing w:before="100" w:beforeAutospacing="1" w:after="100" w:afterAutospacing="1" w:line="240" w:lineRule="auto"/>
      <w:ind w:firstLine="0" w:firstLineChars="0"/>
      <w:jc w:val="left"/>
    </w:pPr>
    <w:rPr>
      <w:rFonts w:ascii="宋体" w:hAnsi="宋体" w:cs="宋体"/>
      <w:kern w:val="0"/>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环评正文"/>
    <w:basedOn w:val="1"/>
    <w:qFormat/>
    <w:uiPriority w:val="0"/>
    <w:pPr>
      <w:spacing w:line="360" w:lineRule="auto"/>
      <w:ind w:firstLine="480" w:firstLineChars="200"/>
    </w:pPr>
    <w:rPr>
      <w:sz w:val="24"/>
    </w:rPr>
  </w:style>
  <w:style w:type="paragraph" w:customStyle="1" w:styleId="16">
    <w:name w:val="表格标题"/>
    <w:basedOn w:val="1"/>
    <w:qFormat/>
    <w:uiPriority w:val="0"/>
    <w:pPr>
      <w:adjustRightInd w:val="0"/>
      <w:snapToGrid w:val="0"/>
      <w:ind w:firstLine="0" w:firstLineChars="0"/>
      <w:jc w:val="center"/>
    </w:pPr>
    <w:rPr>
      <w:b/>
      <w:sz w:val="21"/>
      <w:szCs w:val="21"/>
    </w:rPr>
  </w:style>
  <w:style w:type="paragraph" w:customStyle="1" w:styleId="17">
    <w:name w:val="环评二级标题"/>
    <w:basedOn w:val="1"/>
    <w:next w:val="15"/>
    <w:qFormat/>
    <w:uiPriority w:val="0"/>
    <w:rPr>
      <w:b/>
      <w:sz w:val="28"/>
    </w:rPr>
  </w:style>
  <w:style w:type="paragraph" w:customStyle="1" w:styleId="18">
    <w:name w:val="标题2"/>
    <w:basedOn w:val="4"/>
    <w:next w:val="1"/>
    <w:qFormat/>
    <w:uiPriority w:val="0"/>
    <w:pPr>
      <w:keepNext w:val="0"/>
      <w:keepLines w:val="0"/>
    </w:pPr>
  </w:style>
  <w:style w:type="paragraph" w:customStyle="1" w:styleId="19">
    <w:name w:val="报告正文"/>
    <w:basedOn w:val="1"/>
    <w:qFormat/>
    <w:uiPriority w:val="0"/>
    <w:pPr>
      <w:spacing w:line="480" w:lineRule="exact"/>
      <w:ind w:firstLine="200"/>
    </w:pPr>
    <w:rPr>
      <w:rFonts w:ascii="宋体" w:hAnsi="宋体" w:cs="宋体"/>
      <w:color w:val="000000"/>
    </w:rPr>
  </w:style>
  <w:style w:type="character" w:customStyle="1" w:styleId="20">
    <w:name w:val="font11"/>
    <w:basedOn w:val="14"/>
    <w:qFormat/>
    <w:uiPriority w:val="0"/>
    <w:rPr>
      <w:rFonts w:hint="eastAsia" w:ascii="宋体" w:hAnsi="宋体" w:eastAsia="宋体" w:cs="宋体"/>
      <w:color w:val="000000"/>
      <w:sz w:val="24"/>
      <w:szCs w:val="24"/>
      <w:u w:val="none"/>
      <w:vertAlign w:val="subscript"/>
    </w:rPr>
  </w:style>
  <w:style w:type="paragraph" w:customStyle="1" w:styleId="21">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22">
    <w:name w:val="WPSOffice手动目录 1"/>
    <w:qFormat/>
    <w:uiPriority w:val="0"/>
    <w:pPr>
      <w:ind w:leftChars="0"/>
    </w:pPr>
    <w:rPr>
      <w:rFonts w:asciiTheme="minorHAnsi" w:hAnsiTheme="minorHAnsi" w:eastAsiaTheme="minorEastAsia" w:cstheme="minorBidi"/>
      <w:sz w:val="20"/>
      <w:szCs w:val="20"/>
    </w:rPr>
  </w:style>
  <w:style w:type="paragraph" w:customStyle="1" w:styleId="23">
    <w:name w:val="鹏达信 表格标题行"/>
    <w:basedOn w:val="24"/>
    <w:qFormat/>
    <w:uiPriority w:val="0"/>
    <w:pPr>
      <w:snapToGrid w:val="0"/>
      <w:spacing w:line="240" w:lineRule="auto"/>
    </w:pPr>
    <w:rPr>
      <w:b/>
      <w:sz w:val="21"/>
    </w:rPr>
  </w:style>
  <w:style w:type="paragraph" w:customStyle="1" w:styleId="24">
    <w:name w:val="鹏达信 正文"/>
    <w:basedOn w:val="1"/>
    <w:qFormat/>
    <w:uiPriority w:val="0"/>
    <w:pPr>
      <w:ind w:firstLine="472"/>
      <w:textAlignment w:val="baseline"/>
    </w:pPr>
    <w:rPr>
      <w:spacing w:val="-2"/>
      <w:kern w:val="0"/>
      <w:sz w:val="24"/>
    </w:rPr>
  </w:style>
  <w:style w:type="paragraph" w:customStyle="1" w:styleId="25">
    <w:name w:val="鹏达信 表格内容"/>
    <w:basedOn w:val="1"/>
    <w:qFormat/>
    <w:uiPriority w:val="0"/>
    <w:pPr>
      <w:jc w:val="center"/>
      <w:textAlignment w:val="baseline"/>
    </w:pPr>
    <w:rPr>
      <w:color w:val="000000"/>
      <w:kern w:val="0"/>
    </w:rPr>
  </w:style>
  <w:style w:type="paragraph" w:customStyle="1" w:styleId="26">
    <w:name w:val="p0"/>
    <w:basedOn w:val="1"/>
    <w:qFormat/>
    <w:uiPriority w:val="0"/>
    <w:pPr>
      <w:widowControl/>
      <w:spacing w:line="360" w:lineRule="auto"/>
      <w:ind w:firstLine="420"/>
    </w:pPr>
    <w:rPr>
      <w:kern w:val="0"/>
      <w:sz w:val="24"/>
    </w:rPr>
  </w:style>
  <w:style w:type="paragraph" w:customStyle="1" w:styleId="27">
    <w:name w:val="报告表  段"/>
    <w:basedOn w:val="1"/>
    <w:qFormat/>
    <w:uiPriority w:val="0"/>
    <w:pPr>
      <w:adjustRightInd w:val="0"/>
      <w:spacing w:line="360" w:lineRule="auto"/>
      <w:ind w:firstLine="505"/>
      <w:textAlignment w:val="baseline"/>
    </w:pPr>
    <w:rPr>
      <w:rFonts w:ascii="宋体"/>
      <w:sz w:val="24"/>
      <w:lang w:bidi="ar-SA"/>
    </w:rPr>
  </w:style>
  <w:style w:type="paragraph" w:styleId="28">
    <w:name w:val="List Paragraph"/>
    <w:basedOn w:val="1"/>
    <w:qFormat/>
    <w:uiPriority w:val="34"/>
    <w:pPr>
      <w:ind w:firstLine="420" w:firstLineChars="200"/>
    </w:pPr>
    <w:rPr>
      <w:rFonts w:ascii="等线" w:hAnsi="等线" w:eastAsia="等线" w:cs="Times New Roman"/>
      <w:szCs w:val="22"/>
    </w:rPr>
  </w:style>
  <w:style w:type="character" w:customStyle="1" w:styleId="29">
    <w:name w:val="标题 2 Char"/>
    <w:link w:val="4"/>
    <w:qFormat/>
    <w:uiPriority w:val="0"/>
    <w:rPr>
      <w:b/>
      <w:bCs/>
      <w:sz w:val="30"/>
      <w:szCs w:val="30"/>
    </w:rPr>
  </w:style>
  <w:style w:type="paragraph" w:customStyle="1" w:styleId="30">
    <w:name w:val="WPSOffice手动目录 2"/>
    <w:qFormat/>
    <w:uiPriority w:val="0"/>
    <w:pPr>
      <w:ind w:leftChars="200"/>
    </w:pPr>
    <w:rPr>
      <w:rFonts w:asciiTheme="minorHAnsi" w:hAnsiTheme="minorHAnsi" w:eastAsiaTheme="minorHAnsi" w:cstheme="minorBidi"/>
      <w:sz w:val="20"/>
      <w:szCs w:val="20"/>
    </w:rPr>
  </w:style>
  <w:style w:type="paragraph" w:customStyle="1" w:styleId="31">
    <w:name w:val="WPSOffice手动目录 3"/>
    <w:qFormat/>
    <w:uiPriority w:val="0"/>
    <w:pPr>
      <w:ind w:leftChars="400"/>
    </w:pPr>
    <w:rPr>
      <w:rFonts w:asciiTheme="minorHAnsi" w:hAnsiTheme="minorHAnsi" w:eastAsiaTheme="minorHAnsi"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商务项目计划书"/>
      <sectRole val="1"/>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12371</Words>
  <Characters>15341</Characters>
  <Lines>0</Lines>
  <Paragraphs>0</Paragraphs>
  <TotalTime>16</TotalTime>
  <ScaleCrop>false</ScaleCrop>
  <LinksUpToDate>false</LinksUpToDate>
  <CharactersWithSpaces>16127</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SaltedFish</cp:lastModifiedBy>
  <cp:lastPrinted>2020-04-27T01:20:00Z</cp:lastPrinted>
  <dcterms:modified xsi:type="dcterms:W3CDTF">2020-07-29T09:22:07Z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